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67246" w14:textId="77777777" w:rsidR="00B7377C" w:rsidRDefault="00B7377C" w:rsidP="00B7377C">
      <w:pPr>
        <w:jc w:val="center"/>
      </w:pPr>
    </w:p>
    <w:p w14:paraId="77A29B64" w14:textId="447A4828" w:rsidR="00B6659D" w:rsidRPr="00ED2BED" w:rsidRDefault="004A66B5" w:rsidP="00B7377C">
      <w:pPr>
        <w:jc w:val="center"/>
        <w:rPr>
          <w:b/>
          <w:u w:val="single"/>
        </w:rPr>
      </w:pPr>
      <w:r w:rsidRPr="00ED2BED">
        <w:rPr>
          <w:b/>
          <w:u w:val="single"/>
        </w:rPr>
        <w:t xml:space="preserve">INFORMATIENOTA OVER DE AANBIEDING VAN </w:t>
      </w:r>
      <w:r w:rsidR="003D106F">
        <w:rPr>
          <w:b/>
          <w:u w:val="single"/>
        </w:rPr>
        <w:t>AANDELEN</w:t>
      </w:r>
      <w:r w:rsidR="003D106F" w:rsidRPr="00ED2BED">
        <w:rPr>
          <w:b/>
          <w:u w:val="single"/>
        </w:rPr>
        <w:t xml:space="preserve"> </w:t>
      </w:r>
      <w:r w:rsidRPr="00ED2BED">
        <w:rPr>
          <w:b/>
          <w:u w:val="single"/>
        </w:rPr>
        <w:t>DOOR EMPART</w:t>
      </w:r>
      <w:r w:rsidR="00C652F2">
        <w:rPr>
          <w:b/>
          <w:u w:val="single"/>
        </w:rPr>
        <w:t xml:space="preserve"> II MAATSCHAP</w:t>
      </w:r>
    </w:p>
    <w:p w14:paraId="34304F21" w14:textId="77777777" w:rsidR="004A66B5" w:rsidRDefault="004A66B5" w:rsidP="004A66B5"/>
    <w:p w14:paraId="3C586BF2" w14:textId="77777777" w:rsidR="00B7377C" w:rsidRDefault="00B7377C" w:rsidP="004A66B5"/>
    <w:p w14:paraId="2731FD48" w14:textId="77777777" w:rsidR="00B7377C" w:rsidRDefault="00B7377C" w:rsidP="004A66B5"/>
    <w:p w14:paraId="43CE68E1" w14:textId="77777777" w:rsidR="00B7377C" w:rsidRDefault="00B7377C" w:rsidP="004A66B5"/>
    <w:p w14:paraId="609A62A4" w14:textId="77777777" w:rsidR="00B7377C" w:rsidRDefault="004A66B5" w:rsidP="00B7377C">
      <w:pPr>
        <w:spacing w:after="0" w:line="240" w:lineRule="auto"/>
        <w:jc w:val="center"/>
      </w:pPr>
      <w:r>
        <w:t>Dit document is opgesteld door</w:t>
      </w:r>
    </w:p>
    <w:p w14:paraId="1DC724CB" w14:textId="1CCFAA89" w:rsidR="00B7377C" w:rsidRPr="00B7377C" w:rsidRDefault="004A66B5" w:rsidP="00B7377C">
      <w:pPr>
        <w:spacing w:after="0" w:line="240" w:lineRule="auto"/>
        <w:jc w:val="center"/>
        <w:rPr>
          <w:b/>
        </w:rPr>
      </w:pPr>
      <w:r w:rsidRPr="00B7377C">
        <w:rPr>
          <w:b/>
        </w:rPr>
        <w:t>Empart</w:t>
      </w:r>
      <w:r w:rsidR="00C652F2">
        <w:rPr>
          <w:b/>
        </w:rPr>
        <w:t xml:space="preserve"> II</w:t>
      </w:r>
    </w:p>
    <w:p w14:paraId="7BDB32D8" w14:textId="484BF4C4" w:rsidR="00B7377C" w:rsidRDefault="00C652F2" w:rsidP="00B7377C">
      <w:pPr>
        <w:spacing w:after="0" w:line="240" w:lineRule="auto"/>
        <w:jc w:val="center"/>
      </w:pPr>
      <w:r>
        <w:t>Maatschap</w:t>
      </w:r>
    </w:p>
    <w:p w14:paraId="233A8407" w14:textId="633D2443" w:rsidR="00B7377C" w:rsidRDefault="004A66B5" w:rsidP="00B7377C">
      <w:pPr>
        <w:spacing w:after="0" w:line="240" w:lineRule="auto"/>
        <w:jc w:val="center"/>
      </w:pPr>
      <w:r>
        <w:t>Veldkant 3</w:t>
      </w:r>
      <w:r w:rsidR="00C652F2">
        <w:t>3A</w:t>
      </w:r>
      <w:r>
        <w:t>, 2550 Kontich, België</w:t>
      </w:r>
    </w:p>
    <w:p w14:paraId="54FA1292" w14:textId="66F95B71" w:rsidR="004A66B5" w:rsidRDefault="004A66B5" w:rsidP="00B7377C">
      <w:pPr>
        <w:spacing w:after="0" w:line="240" w:lineRule="auto"/>
        <w:jc w:val="center"/>
      </w:pPr>
      <w:r>
        <w:t>(de "</w:t>
      </w:r>
      <w:r w:rsidR="00383CC7">
        <w:rPr>
          <w:b/>
        </w:rPr>
        <w:t>M</w:t>
      </w:r>
      <w:r w:rsidR="00C652F2">
        <w:rPr>
          <w:b/>
        </w:rPr>
        <w:t>aatschap</w:t>
      </w:r>
      <w:r>
        <w:t>")</w:t>
      </w:r>
    </w:p>
    <w:p w14:paraId="18A74448" w14:textId="77777777" w:rsidR="004A66B5" w:rsidRDefault="004A66B5" w:rsidP="00ED2BED">
      <w:pPr>
        <w:jc w:val="center"/>
      </w:pPr>
    </w:p>
    <w:p w14:paraId="3651DA60" w14:textId="77777777" w:rsidR="00B7377C" w:rsidRDefault="00B7377C" w:rsidP="00B7377C">
      <w:pPr>
        <w:jc w:val="center"/>
      </w:pPr>
    </w:p>
    <w:p w14:paraId="7D33566F" w14:textId="3AFAE848" w:rsidR="003E6E7F" w:rsidRDefault="00284966" w:rsidP="003E6E7F">
      <w:pPr>
        <w:jc w:val="center"/>
      </w:pPr>
      <w:r>
        <w:t>4</w:t>
      </w:r>
      <w:r w:rsidR="00B03296">
        <w:t xml:space="preserve"> </w:t>
      </w:r>
      <w:r>
        <w:t>april</w:t>
      </w:r>
      <w:r w:rsidR="007D307E">
        <w:t xml:space="preserve"> </w:t>
      </w:r>
      <w:r w:rsidR="003E6E7F">
        <w:t>20</w:t>
      </w:r>
      <w:r w:rsidR="00E008EA">
        <w:t>2</w:t>
      </w:r>
      <w:r w:rsidR="00AA4809">
        <w:t>5</w:t>
      </w:r>
    </w:p>
    <w:p w14:paraId="385E9122" w14:textId="77777777" w:rsidR="00CA0B4D" w:rsidRDefault="00CA0B4D" w:rsidP="004A66B5"/>
    <w:p w14:paraId="1EF29B39" w14:textId="77777777" w:rsidR="00CA0B4D" w:rsidRDefault="00CA0B4D" w:rsidP="004A66B5"/>
    <w:p w14:paraId="5C399353" w14:textId="77777777" w:rsidR="003E6E7F" w:rsidRDefault="003E6E7F" w:rsidP="00B7377C">
      <w:pPr>
        <w:jc w:val="center"/>
      </w:pPr>
    </w:p>
    <w:p w14:paraId="4FDF04CF" w14:textId="77777777" w:rsidR="00B7377C" w:rsidRDefault="00B7377C" w:rsidP="004A66B5"/>
    <w:p w14:paraId="39C86625" w14:textId="77777777" w:rsidR="00B7377C" w:rsidRDefault="003E6E7F" w:rsidP="004A66B5">
      <w:r>
        <w:t>DIT DOCUMENT IS GEEN PROSPECTUS EN WERD NIET GECONTROLEERD OF GOEDGEKEURD DOOR DE AUTORITEIT VOOR FINANCIËLE DIENSTEN EN MARKTEN.</w:t>
      </w:r>
    </w:p>
    <w:p w14:paraId="58037753" w14:textId="77777777" w:rsidR="003E6E7F" w:rsidRDefault="003E6E7F" w:rsidP="004A66B5">
      <w:r>
        <w:t>WAARSCHUWING: DE BELEGGER LOOPT HET RISICO ZIJN BELEGGING VOLLEDIG OF GEDEELTELIJK TE VERLIEZEN EN/OF HET VERWACHTE RENDEMENT NIET TE BEHALEN.</w:t>
      </w:r>
    </w:p>
    <w:p w14:paraId="18059BD9" w14:textId="77777777" w:rsidR="003E6E7F" w:rsidRDefault="003E6E7F" w:rsidP="004A66B5">
      <w:r>
        <w:t>DE BELEGGINGSINSTRUMENTEN ZIJN NIET GENOTEERD: DE BELEGGER LOOPT HET RISICO GROTE PROBLEMEN TE ONDERVINDEN OM ZIJN POSITIE AAN EEN DERDE TE VERKOPEN INDIEN HIJ DAT ZOU WENSEN.</w:t>
      </w:r>
    </w:p>
    <w:p w14:paraId="3120FBE4" w14:textId="521D4562" w:rsidR="00491B4E" w:rsidRPr="00ED2BED" w:rsidRDefault="00642393" w:rsidP="0001302E">
      <w:pPr>
        <w:rPr>
          <w:caps/>
        </w:rPr>
      </w:pPr>
      <w:r w:rsidRPr="00ED2BED">
        <w:rPr>
          <w:caps/>
        </w:rPr>
        <w:t xml:space="preserve">De </w:t>
      </w:r>
      <w:r w:rsidR="00152851">
        <w:rPr>
          <w:caps/>
        </w:rPr>
        <w:t>MAAT</w:t>
      </w:r>
      <w:r w:rsidRPr="0001302E">
        <w:rPr>
          <w:caps/>
        </w:rPr>
        <w:t xml:space="preserve">schap biedt de </w:t>
      </w:r>
      <w:r w:rsidR="003D106F">
        <w:rPr>
          <w:caps/>
        </w:rPr>
        <w:t xml:space="preserve">AANDELEN </w:t>
      </w:r>
      <w:r w:rsidRPr="00ED2BED">
        <w:rPr>
          <w:caps/>
        </w:rPr>
        <w:t xml:space="preserve">enkel aan een welomlijnde groep personen die een specifieke band hebben met de Cronos Groep NV en bepaalde daarmee verbonden vennootschappen.  De inschrijving staat dus niet open voor elke belegger. </w:t>
      </w:r>
    </w:p>
    <w:p w14:paraId="596C27FA" w14:textId="77777777" w:rsidR="000676F1" w:rsidRDefault="00B7377C" w:rsidP="00B7377C">
      <w:pPr>
        <w:pBdr>
          <w:top w:val="single" w:sz="4" w:space="1" w:color="auto"/>
          <w:left w:val="single" w:sz="4" w:space="4" w:color="auto"/>
          <w:bottom w:val="single" w:sz="4" w:space="1" w:color="auto"/>
          <w:right w:val="single" w:sz="4" w:space="4" w:color="auto"/>
        </w:pBdr>
      </w:pPr>
      <w:r>
        <w:br w:type="page"/>
      </w:r>
    </w:p>
    <w:p w14:paraId="25468CF8" w14:textId="77777777" w:rsidR="00B7377C" w:rsidRPr="00ED2BED" w:rsidRDefault="00B7377C" w:rsidP="004A66B5">
      <w:pPr>
        <w:rPr>
          <w:b/>
          <w:u w:val="single"/>
        </w:rPr>
      </w:pPr>
      <w:r w:rsidRPr="00ED2BED">
        <w:rPr>
          <w:b/>
          <w:u w:val="single"/>
        </w:rPr>
        <w:lastRenderedPageBreak/>
        <w:t xml:space="preserve">INHOUDSOPGAVE </w:t>
      </w:r>
    </w:p>
    <w:p w14:paraId="1E9AD632" w14:textId="42C5909E" w:rsidR="002424FF" w:rsidRPr="002424FF" w:rsidRDefault="002424FF">
      <w:pPr>
        <w:pStyle w:val="TOC1"/>
        <w:tabs>
          <w:tab w:val="left" w:pos="440"/>
          <w:tab w:val="right" w:leader="dot" w:pos="9062"/>
        </w:tabs>
        <w:rPr>
          <w:rFonts w:asciiTheme="minorHAnsi" w:eastAsiaTheme="minorEastAsia" w:hAnsiTheme="minorHAnsi"/>
          <w:b w:val="0"/>
          <w:bCs w:val="0"/>
          <w:caps w:val="0"/>
          <w:noProof/>
          <w:sz w:val="22"/>
          <w:szCs w:val="22"/>
          <w:lang w:eastAsia="nl-BE"/>
        </w:rPr>
      </w:pPr>
      <w:r>
        <w:rPr>
          <w:lang w:val="en-US"/>
        </w:rPr>
        <w:fldChar w:fldCharType="begin"/>
      </w:r>
      <w:r>
        <w:rPr>
          <w:lang w:val="en-US"/>
        </w:rPr>
        <w:instrText xml:space="preserve"> TOC \h \z \t "Style1;1;Style2;2" </w:instrText>
      </w:r>
      <w:r>
        <w:rPr>
          <w:lang w:val="en-US"/>
        </w:rPr>
        <w:fldChar w:fldCharType="separate"/>
      </w:r>
      <w:hyperlink w:anchor="_Toc1734415" w:history="1">
        <w:r w:rsidRPr="002424FF">
          <w:rPr>
            <w:rStyle w:val="Hyperlink"/>
            <w:b w:val="0"/>
            <w:noProof/>
          </w:rPr>
          <w:t>1.</w:t>
        </w:r>
        <w:r w:rsidRPr="002424FF">
          <w:rPr>
            <w:rFonts w:asciiTheme="minorHAnsi" w:eastAsiaTheme="minorEastAsia" w:hAnsiTheme="minorHAnsi"/>
            <w:b w:val="0"/>
            <w:bCs w:val="0"/>
            <w:caps w:val="0"/>
            <w:noProof/>
            <w:sz w:val="22"/>
            <w:szCs w:val="22"/>
            <w:lang w:eastAsia="nl-BE"/>
          </w:rPr>
          <w:tab/>
        </w:r>
        <w:r w:rsidRPr="002424FF">
          <w:rPr>
            <w:rStyle w:val="Hyperlink"/>
            <w:b w:val="0"/>
            <w:noProof/>
          </w:rPr>
          <w:t>Belangrijkste risico’s die inherent zijn aan de uitgevende instelling en de aangeboden beleggingsinstrumenten, en die specifiek zijn voor de betrokken aanbieding</w:t>
        </w:r>
        <w:r w:rsidRPr="002424FF">
          <w:rPr>
            <w:b w:val="0"/>
            <w:noProof/>
            <w:webHidden/>
          </w:rPr>
          <w:tab/>
        </w:r>
        <w:r w:rsidRPr="002424FF">
          <w:rPr>
            <w:b w:val="0"/>
            <w:noProof/>
            <w:webHidden/>
          </w:rPr>
          <w:fldChar w:fldCharType="begin"/>
        </w:r>
        <w:r w:rsidRPr="002424FF">
          <w:rPr>
            <w:b w:val="0"/>
            <w:noProof/>
            <w:webHidden/>
          </w:rPr>
          <w:instrText xml:space="preserve"> PAGEREF _Toc1734415 \h </w:instrText>
        </w:r>
        <w:r w:rsidRPr="002424FF">
          <w:rPr>
            <w:b w:val="0"/>
            <w:noProof/>
            <w:webHidden/>
          </w:rPr>
        </w:r>
        <w:r w:rsidRPr="002424FF">
          <w:rPr>
            <w:b w:val="0"/>
            <w:noProof/>
            <w:webHidden/>
          </w:rPr>
          <w:fldChar w:fldCharType="separate"/>
        </w:r>
        <w:r w:rsidR="001F4D1D">
          <w:rPr>
            <w:b w:val="0"/>
            <w:noProof/>
            <w:webHidden/>
          </w:rPr>
          <w:t>1</w:t>
        </w:r>
        <w:r w:rsidRPr="002424FF">
          <w:rPr>
            <w:b w:val="0"/>
            <w:noProof/>
            <w:webHidden/>
          </w:rPr>
          <w:fldChar w:fldCharType="end"/>
        </w:r>
      </w:hyperlink>
    </w:p>
    <w:p w14:paraId="3517F64F" w14:textId="1229A10E" w:rsidR="002424FF" w:rsidRPr="002424FF" w:rsidRDefault="002424FF" w:rsidP="003D106F">
      <w:pPr>
        <w:pStyle w:val="TOC2"/>
        <w:rPr>
          <w:rFonts w:eastAsiaTheme="minorEastAsia" w:cstheme="minorBidi"/>
          <w:noProof/>
          <w:sz w:val="22"/>
          <w:szCs w:val="22"/>
          <w:lang w:eastAsia="nl-BE"/>
        </w:rPr>
      </w:pPr>
      <w:hyperlink w:anchor="_Toc1734416" w:history="1">
        <w:r w:rsidRPr="002424FF">
          <w:rPr>
            <w:rStyle w:val="Hyperlink"/>
            <w:b w:val="0"/>
            <w:noProof/>
          </w:rPr>
          <w:t>1.1</w:t>
        </w:r>
        <w:r w:rsidRPr="002424FF">
          <w:rPr>
            <w:rFonts w:eastAsiaTheme="minorEastAsia" w:cstheme="minorBidi"/>
            <w:noProof/>
            <w:sz w:val="22"/>
            <w:szCs w:val="22"/>
            <w:lang w:eastAsia="nl-BE"/>
          </w:rPr>
          <w:tab/>
        </w:r>
        <w:r w:rsidRPr="002424FF">
          <w:rPr>
            <w:rStyle w:val="Hyperlink"/>
            <w:b w:val="0"/>
            <w:noProof/>
          </w:rPr>
          <w:t xml:space="preserve">Risicofactoren eigen aan de </w:t>
        </w:r>
        <w:r w:rsidR="00383CC7">
          <w:rPr>
            <w:rStyle w:val="Hyperlink"/>
            <w:b w:val="0"/>
            <w:noProof/>
          </w:rPr>
          <w:t>M</w:t>
        </w:r>
        <w:r w:rsidR="00A75A40">
          <w:rPr>
            <w:rStyle w:val="Hyperlink"/>
            <w:b w:val="0"/>
            <w:noProof/>
          </w:rPr>
          <w:t>aatschap</w:t>
        </w:r>
        <w:r w:rsidRPr="002424FF">
          <w:rPr>
            <w:noProof/>
            <w:webHidden/>
          </w:rPr>
          <w:tab/>
        </w:r>
        <w:r w:rsidRPr="002424FF">
          <w:rPr>
            <w:noProof/>
            <w:webHidden/>
          </w:rPr>
          <w:fldChar w:fldCharType="begin"/>
        </w:r>
        <w:r w:rsidRPr="002424FF">
          <w:rPr>
            <w:noProof/>
            <w:webHidden/>
          </w:rPr>
          <w:instrText xml:space="preserve"> PAGEREF _Toc1734416 \h </w:instrText>
        </w:r>
        <w:r w:rsidRPr="002424FF">
          <w:rPr>
            <w:noProof/>
            <w:webHidden/>
          </w:rPr>
        </w:r>
        <w:r w:rsidRPr="002424FF">
          <w:rPr>
            <w:noProof/>
            <w:webHidden/>
          </w:rPr>
          <w:fldChar w:fldCharType="separate"/>
        </w:r>
        <w:r w:rsidR="001F4D1D">
          <w:rPr>
            <w:noProof/>
            <w:webHidden/>
          </w:rPr>
          <w:t>1</w:t>
        </w:r>
        <w:r w:rsidRPr="002424FF">
          <w:rPr>
            <w:noProof/>
            <w:webHidden/>
          </w:rPr>
          <w:fldChar w:fldCharType="end"/>
        </w:r>
      </w:hyperlink>
    </w:p>
    <w:p w14:paraId="73510CBD" w14:textId="3E34980C" w:rsidR="002424FF" w:rsidRPr="002424FF" w:rsidRDefault="002424FF" w:rsidP="003D106F">
      <w:pPr>
        <w:pStyle w:val="TOC2"/>
        <w:rPr>
          <w:rFonts w:eastAsiaTheme="minorEastAsia" w:cstheme="minorBidi"/>
          <w:noProof/>
          <w:sz w:val="22"/>
          <w:szCs w:val="22"/>
          <w:lang w:eastAsia="nl-BE"/>
        </w:rPr>
      </w:pPr>
      <w:hyperlink w:anchor="_Toc1734417" w:history="1">
        <w:r w:rsidRPr="002424FF">
          <w:rPr>
            <w:rStyle w:val="Hyperlink"/>
            <w:b w:val="0"/>
            <w:noProof/>
          </w:rPr>
          <w:t>1.2</w:t>
        </w:r>
        <w:r w:rsidRPr="002424FF">
          <w:rPr>
            <w:rFonts w:eastAsiaTheme="minorEastAsia" w:cstheme="minorBidi"/>
            <w:noProof/>
            <w:sz w:val="22"/>
            <w:szCs w:val="22"/>
            <w:lang w:eastAsia="nl-BE"/>
          </w:rPr>
          <w:tab/>
        </w:r>
        <w:r w:rsidRPr="002424FF">
          <w:rPr>
            <w:rStyle w:val="Hyperlink"/>
            <w:b w:val="0"/>
            <w:noProof/>
          </w:rPr>
          <w:t xml:space="preserve">Risicofactoren eigen aan de </w:t>
        </w:r>
        <w:r w:rsidR="003D106F">
          <w:rPr>
            <w:rStyle w:val="Hyperlink"/>
            <w:b w:val="0"/>
            <w:noProof/>
          </w:rPr>
          <w:t>aandelen</w:t>
        </w:r>
        <w:r w:rsidRPr="002424FF">
          <w:rPr>
            <w:noProof/>
            <w:webHidden/>
          </w:rPr>
          <w:tab/>
        </w:r>
        <w:r w:rsidRPr="002424FF">
          <w:rPr>
            <w:noProof/>
            <w:webHidden/>
          </w:rPr>
          <w:fldChar w:fldCharType="begin"/>
        </w:r>
        <w:r w:rsidRPr="002424FF">
          <w:rPr>
            <w:noProof/>
            <w:webHidden/>
          </w:rPr>
          <w:instrText xml:space="preserve"> PAGEREF _Toc1734417 \h </w:instrText>
        </w:r>
        <w:r w:rsidRPr="002424FF">
          <w:rPr>
            <w:noProof/>
            <w:webHidden/>
          </w:rPr>
        </w:r>
        <w:r w:rsidRPr="002424FF">
          <w:rPr>
            <w:noProof/>
            <w:webHidden/>
          </w:rPr>
          <w:fldChar w:fldCharType="separate"/>
        </w:r>
        <w:r w:rsidR="001F4D1D">
          <w:rPr>
            <w:noProof/>
            <w:webHidden/>
          </w:rPr>
          <w:t>4</w:t>
        </w:r>
        <w:r w:rsidRPr="002424FF">
          <w:rPr>
            <w:noProof/>
            <w:webHidden/>
          </w:rPr>
          <w:fldChar w:fldCharType="end"/>
        </w:r>
      </w:hyperlink>
    </w:p>
    <w:p w14:paraId="076298EA" w14:textId="2E9F86EF" w:rsidR="002424FF" w:rsidRPr="002424FF" w:rsidRDefault="002424FF">
      <w:pPr>
        <w:pStyle w:val="TOC1"/>
        <w:tabs>
          <w:tab w:val="left" w:pos="440"/>
          <w:tab w:val="right" w:leader="dot" w:pos="9062"/>
        </w:tabs>
        <w:rPr>
          <w:rFonts w:asciiTheme="minorHAnsi" w:eastAsiaTheme="minorEastAsia" w:hAnsiTheme="minorHAnsi"/>
          <w:b w:val="0"/>
          <w:bCs w:val="0"/>
          <w:caps w:val="0"/>
          <w:noProof/>
          <w:sz w:val="22"/>
          <w:szCs w:val="22"/>
          <w:lang w:eastAsia="nl-BE"/>
        </w:rPr>
      </w:pPr>
      <w:hyperlink w:anchor="_Toc1734418" w:history="1">
        <w:r w:rsidRPr="002424FF">
          <w:rPr>
            <w:rStyle w:val="Hyperlink"/>
            <w:b w:val="0"/>
            <w:noProof/>
          </w:rPr>
          <w:t>2.</w:t>
        </w:r>
        <w:r w:rsidRPr="002424FF">
          <w:rPr>
            <w:rFonts w:asciiTheme="minorHAnsi" w:eastAsiaTheme="minorEastAsia" w:hAnsiTheme="minorHAnsi"/>
            <w:b w:val="0"/>
            <w:bCs w:val="0"/>
            <w:caps w:val="0"/>
            <w:noProof/>
            <w:sz w:val="22"/>
            <w:szCs w:val="22"/>
            <w:lang w:eastAsia="nl-BE"/>
          </w:rPr>
          <w:tab/>
        </w:r>
        <w:r w:rsidRPr="002424FF">
          <w:rPr>
            <w:rStyle w:val="Hyperlink"/>
            <w:b w:val="0"/>
            <w:noProof/>
          </w:rPr>
          <w:t xml:space="preserve">Informatie over de </w:t>
        </w:r>
        <w:r w:rsidR="00383CC7">
          <w:rPr>
            <w:rStyle w:val="Hyperlink"/>
            <w:b w:val="0"/>
            <w:noProof/>
          </w:rPr>
          <w:t>MAATSCHAP</w:t>
        </w:r>
        <w:r w:rsidRPr="002424FF">
          <w:rPr>
            <w:b w:val="0"/>
            <w:noProof/>
            <w:webHidden/>
          </w:rPr>
          <w:tab/>
        </w:r>
        <w:r w:rsidRPr="002424FF">
          <w:rPr>
            <w:b w:val="0"/>
            <w:noProof/>
            <w:webHidden/>
          </w:rPr>
          <w:fldChar w:fldCharType="begin"/>
        </w:r>
        <w:r w:rsidRPr="002424FF">
          <w:rPr>
            <w:b w:val="0"/>
            <w:noProof/>
            <w:webHidden/>
          </w:rPr>
          <w:instrText xml:space="preserve"> PAGEREF _Toc1734418 \h </w:instrText>
        </w:r>
        <w:r w:rsidRPr="002424FF">
          <w:rPr>
            <w:b w:val="0"/>
            <w:noProof/>
            <w:webHidden/>
          </w:rPr>
        </w:r>
        <w:r w:rsidRPr="002424FF">
          <w:rPr>
            <w:b w:val="0"/>
            <w:noProof/>
            <w:webHidden/>
          </w:rPr>
          <w:fldChar w:fldCharType="separate"/>
        </w:r>
        <w:r w:rsidR="001F4D1D">
          <w:rPr>
            <w:b w:val="0"/>
            <w:noProof/>
            <w:webHidden/>
          </w:rPr>
          <w:t>5</w:t>
        </w:r>
        <w:r w:rsidRPr="002424FF">
          <w:rPr>
            <w:b w:val="0"/>
            <w:noProof/>
            <w:webHidden/>
          </w:rPr>
          <w:fldChar w:fldCharType="end"/>
        </w:r>
      </w:hyperlink>
    </w:p>
    <w:p w14:paraId="6C90EBFF" w14:textId="0FB180C6" w:rsidR="002424FF" w:rsidRPr="002424FF" w:rsidRDefault="002424FF" w:rsidP="003D106F">
      <w:pPr>
        <w:pStyle w:val="TOC2"/>
        <w:rPr>
          <w:rFonts w:eastAsiaTheme="minorEastAsia" w:cstheme="minorBidi"/>
          <w:noProof/>
          <w:sz w:val="22"/>
          <w:szCs w:val="22"/>
          <w:lang w:eastAsia="nl-BE"/>
        </w:rPr>
      </w:pPr>
      <w:hyperlink w:anchor="_Toc1734419" w:history="1">
        <w:r w:rsidRPr="002424FF">
          <w:rPr>
            <w:rStyle w:val="Hyperlink"/>
            <w:b w:val="0"/>
            <w:noProof/>
          </w:rPr>
          <w:t>2.1</w:t>
        </w:r>
        <w:r w:rsidRPr="002424FF">
          <w:rPr>
            <w:rFonts w:eastAsiaTheme="minorEastAsia" w:cstheme="minorBidi"/>
            <w:noProof/>
            <w:sz w:val="22"/>
            <w:szCs w:val="22"/>
            <w:lang w:eastAsia="nl-BE"/>
          </w:rPr>
          <w:tab/>
        </w:r>
        <w:r w:rsidRPr="002424FF">
          <w:rPr>
            <w:rStyle w:val="Hyperlink"/>
            <w:b w:val="0"/>
            <w:noProof/>
          </w:rPr>
          <w:t>Identiteit van de uitgevende instelling</w:t>
        </w:r>
        <w:r w:rsidRPr="002424FF">
          <w:rPr>
            <w:noProof/>
            <w:webHidden/>
          </w:rPr>
          <w:tab/>
        </w:r>
        <w:r w:rsidRPr="002424FF">
          <w:rPr>
            <w:noProof/>
            <w:webHidden/>
          </w:rPr>
          <w:fldChar w:fldCharType="begin"/>
        </w:r>
        <w:r w:rsidRPr="002424FF">
          <w:rPr>
            <w:noProof/>
            <w:webHidden/>
          </w:rPr>
          <w:instrText xml:space="preserve"> PAGEREF _Toc1734419 \h </w:instrText>
        </w:r>
        <w:r w:rsidRPr="002424FF">
          <w:rPr>
            <w:noProof/>
            <w:webHidden/>
          </w:rPr>
        </w:r>
        <w:r w:rsidRPr="002424FF">
          <w:rPr>
            <w:noProof/>
            <w:webHidden/>
          </w:rPr>
          <w:fldChar w:fldCharType="separate"/>
        </w:r>
        <w:r w:rsidR="001F4D1D">
          <w:rPr>
            <w:noProof/>
            <w:webHidden/>
          </w:rPr>
          <w:t>5</w:t>
        </w:r>
        <w:r w:rsidRPr="002424FF">
          <w:rPr>
            <w:noProof/>
            <w:webHidden/>
          </w:rPr>
          <w:fldChar w:fldCharType="end"/>
        </w:r>
      </w:hyperlink>
    </w:p>
    <w:p w14:paraId="0EBA8F2C" w14:textId="218F696C" w:rsidR="002424FF" w:rsidRPr="002424FF" w:rsidRDefault="002424FF" w:rsidP="003D106F">
      <w:pPr>
        <w:pStyle w:val="TOC2"/>
        <w:rPr>
          <w:rFonts w:eastAsiaTheme="minorEastAsia" w:cstheme="minorBidi"/>
          <w:noProof/>
          <w:sz w:val="22"/>
          <w:szCs w:val="22"/>
          <w:lang w:eastAsia="nl-BE"/>
        </w:rPr>
      </w:pPr>
      <w:hyperlink w:anchor="_Toc1734420" w:history="1">
        <w:r w:rsidRPr="002424FF">
          <w:rPr>
            <w:rStyle w:val="Hyperlink"/>
            <w:b w:val="0"/>
            <w:noProof/>
          </w:rPr>
          <w:t>2.2</w:t>
        </w:r>
        <w:r w:rsidRPr="002424FF">
          <w:rPr>
            <w:rFonts w:eastAsiaTheme="minorEastAsia" w:cstheme="minorBidi"/>
            <w:noProof/>
            <w:sz w:val="22"/>
            <w:szCs w:val="22"/>
            <w:lang w:eastAsia="nl-BE"/>
          </w:rPr>
          <w:tab/>
        </w:r>
        <w:r w:rsidRPr="002424FF">
          <w:rPr>
            <w:rStyle w:val="Hyperlink"/>
            <w:b w:val="0"/>
            <w:noProof/>
          </w:rPr>
          <w:t xml:space="preserve">Financiële informatie over de </w:t>
        </w:r>
        <w:r w:rsidR="00383CC7">
          <w:rPr>
            <w:rStyle w:val="Hyperlink"/>
            <w:b w:val="0"/>
            <w:noProof/>
          </w:rPr>
          <w:t>maats</w:t>
        </w:r>
        <w:r w:rsidR="00383CC7" w:rsidRPr="002424FF">
          <w:rPr>
            <w:rStyle w:val="Hyperlink"/>
            <w:b w:val="0"/>
            <w:noProof/>
          </w:rPr>
          <w:t>chap</w:t>
        </w:r>
        <w:r w:rsidRPr="002424FF">
          <w:rPr>
            <w:noProof/>
            <w:webHidden/>
          </w:rPr>
          <w:tab/>
        </w:r>
        <w:r w:rsidRPr="002424FF">
          <w:rPr>
            <w:noProof/>
            <w:webHidden/>
          </w:rPr>
          <w:fldChar w:fldCharType="begin"/>
        </w:r>
        <w:r w:rsidRPr="002424FF">
          <w:rPr>
            <w:noProof/>
            <w:webHidden/>
          </w:rPr>
          <w:instrText xml:space="preserve"> PAGEREF _Toc1734420 \h </w:instrText>
        </w:r>
        <w:r w:rsidRPr="002424FF">
          <w:rPr>
            <w:noProof/>
            <w:webHidden/>
          </w:rPr>
        </w:r>
        <w:r w:rsidRPr="002424FF">
          <w:rPr>
            <w:noProof/>
            <w:webHidden/>
          </w:rPr>
          <w:fldChar w:fldCharType="separate"/>
        </w:r>
        <w:r w:rsidR="001F4D1D">
          <w:rPr>
            <w:noProof/>
            <w:webHidden/>
          </w:rPr>
          <w:t>7</w:t>
        </w:r>
        <w:r w:rsidRPr="002424FF">
          <w:rPr>
            <w:noProof/>
            <w:webHidden/>
          </w:rPr>
          <w:fldChar w:fldCharType="end"/>
        </w:r>
      </w:hyperlink>
    </w:p>
    <w:p w14:paraId="26135670" w14:textId="500E5A41" w:rsidR="002424FF" w:rsidRPr="002424FF" w:rsidRDefault="002424FF" w:rsidP="003D106F">
      <w:pPr>
        <w:pStyle w:val="TOC2"/>
        <w:rPr>
          <w:rFonts w:eastAsiaTheme="minorEastAsia" w:cstheme="minorBidi"/>
          <w:noProof/>
          <w:sz w:val="22"/>
          <w:szCs w:val="22"/>
          <w:lang w:eastAsia="nl-BE"/>
        </w:rPr>
      </w:pPr>
      <w:hyperlink w:anchor="_Toc1734421" w:history="1">
        <w:r w:rsidRPr="002424FF">
          <w:rPr>
            <w:rStyle w:val="Hyperlink"/>
            <w:b w:val="0"/>
            <w:noProof/>
          </w:rPr>
          <w:t>2.3</w:t>
        </w:r>
        <w:r w:rsidRPr="002424FF">
          <w:rPr>
            <w:rFonts w:eastAsiaTheme="minorEastAsia" w:cstheme="minorBidi"/>
            <w:noProof/>
            <w:sz w:val="22"/>
            <w:szCs w:val="22"/>
            <w:lang w:eastAsia="nl-BE"/>
          </w:rPr>
          <w:tab/>
        </w:r>
        <w:r w:rsidRPr="002424FF">
          <w:rPr>
            <w:rStyle w:val="Hyperlink"/>
            <w:b w:val="0"/>
            <w:noProof/>
          </w:rPr>
          <w:t>Beschrijving van het onderliggende actief</w:t>
        </w:r>
        <w:r w:rsidRPr="002424FF">
          <w:rPr>
            <w:noProof/>
            <w:webHidden/>
          </w:rPr>
          <w:tab/>
        </w:r>
        <w:r w:rsidRPr="002424FF">
          <w:rPr>
            <w:noProof/>
            <w:webHidden/>
          </w:rPr>
          <w:fldChar w:fldCharType="begin"/>
        </w:r>
        <w:r w:rsidRPr="002424FF">
          <w:rPr>
            <w:noProof/>
            <w:webHidden/>
          </w:rPr>
          <w:instrText xml:space="preserve"> PAGEREF _Toc1734421 \h </w:instrText>
        </w:r>
        <w:r w:rsidRPr="002424FF">
          <w:rPr>
            <w:noProof/>
            <w:webHidden/>
          </w:rPr>
        </w:r>
        <w:r w:rsidRPr="002424FF">
          <w:rPr>
            <w:noProof/>
            <w:webHidden/>
          </w:rPr>
          <w:fldChar w:fldCharType="separate"/>
        </w:r>
        <w:r w:rsidR="001F4D1D">
          <w:rPr>
            <w:noProof/>
            <w:webHidden/>
          </w:rPr>
          <w:t>7</w:t>
        </w:r>
        <w:r w:rsidRPr="002424FF">
          <w:rPr>
            <w:noProof/>
            <w:webHidden/>
          </w:rPr>
          <w:fldChar w:fldCharType="end"/>
        </w:r>
      </w:hyperlink>
    </w:p>
    <w:p w14:paraId="4EE7DD27" w14:textId="65DE3F89" w:rsidR="002424FF" w:rsidRPr="002424FF" w:rsidRDefault="002424FF" w:rsidP="003D106F">
      <w:pPr>
        <w:pStyle w:val="TOC2"/>
        <w:rPr>
          <w:rFonts w:eastAsiaTheme="minorEastAsia" w:cstheme="minorBidi"/>
          <w:noProof/>
          <w:sz w:val="22"/>
          <w:szCs w:val="22"/>
          <w:lang w:eastAsia="nl-BE"/>
        </w:rPr>
      </w:pPr>
      <w:hyperlink w:anchor="_Toc1734422" w:history="1">
        <w:r w:rsidRPr="002424FF">
          <w:rPr>
            <w:rStyle w:val="Hyperlink"/>
            <w:b w:val="0"/>
            <w:noProof/>
          </w:rPr>
          <w:t>2.4</w:t>
        </w:r>
        <w:r w:rsidRPr="002424FF">
          <w:rPr>
            <w:rFonts w:eastAsiaTheme="minorEastAsia" w:cstheme="minorBidi"/>
            <w:noProof/>
            <w:sz w:val="22"/>
            <w:szCs w:val="22"/>
            <w:lang w:eastAsia="nl-BE"/>
          </w:rPr>
          <w:tab/>
        </w:r>
        <w:r w:rsidRPr="002424FF">
          <w:rPr>
            <w:rStyle w:val="Hyperlink"/>
            <w:b w:val="0"/>
            <w:noProof/>
          </w:rPr>
          <w:t xml:space="preserve">Financiële informatie over de </w:t>
        </w:r>
        <w:r w:rsidR="00856BB7">
          <w:rPr>
            <w:rStyle w:val="Hyperlink"/>
            <w:b w:val="0"/>
            <w:noProof/>
          </w:rPr>
          <w:t>Maatschap</w:t>
        </w:r>
        <w:r w:rsidRPr="002424FF">
          <w:rPr>
            <w:noProof/>
            <w:webHidden/>
          </w:rPr>
          <w:tab/>
        </w:r>
        <w:r w:rsidRPr="002424FF">
          <w:rPr>
            <w:noProof/>
            <w:webHidden/>
          </w:rPr>
          <w:fldChar w:fldCharType="begin"/>
        </w:r>
        <w:r w:rsidRPr="002424FF">
          <w:rPr>
            <w:noProof/>
            <w:webHidden/>
          </w:rPr>
          <w:instrText xml:space="preserve"> PAGEREF _Toc1734422 \h </w:instrText>
        </w:r>
        <w:r w:rsidRPr="002424FF">
          <w:rPr>
            <w:noProof/>
            <w:webHidden/>
          </w:rPr>
        </w:r>
        <w:r w:rsidRPr="002424FF">
          <w:rPr>
            <w:noProof/>
            <w:webHidden/>
          </w:rPr>
          <w:fldChar w:fldCharType="separate"/>
        </w:r>
        <w:r w:rsidR="001F4D1D">
          <w:rPr>
            <w:noProof/>
            <w:webHidden/>
          </w:rPr>
          <w:t>9</w:t>
        </w:r>
        <w:r w:rsidRPr="002424FF">
          <w:rPr>
            <w:noProof/>
            <w:webHidden/>
          </w:rPr>
          <w:fldChar w:fldCharType="end"/>
        </w:r>
      </w:hyperlink>
    </w:p>
    <w:p w14:paraId="301C1289" w14:textId="7EFA0052" w:rsidR="002424FF" w:rsidRPr="002424FF" w:rsidRDefault="002424FF">
      <w:pPr>
        <w:pStyle w:val="TOC1"/>
        <w:tabs>
          <w:tab w:val="left" w:pos="440"/>
          <w:tab w:val="right" w:leader="dot" w:pos="9062"/>
        </w:tabs>
        <w:rPr>
          <w:rFonts w:asciiTheme="minorHAnsi" w:eastAsiaTheme="minorEastAsia" w:hAnsiTheme="minorHAnsi"/>
          <w:b w:val="0"/>
          <w:bCs w:val="0"/>
          <w:caps w:val="0"/>
          <w:noProof/>
          <w:sz w:val="22"/>
          <w:szCs w:val="22"/>
          <w:lang w:eastAsia="nl-BE"/>
        </w:rPr>
      </w:pPr>
      <w:hyperlink w:anchor="_Toc1734423" w:history="1">
        <w:r w:rsidRPr="002424FF">
          <w:rPr>
            <w:rStyle w:val="Hyperlink"/>
            <w:b w:val="0"/>
            <w:noProof/>
          </w:rPr>
          <w:t>3.</w:t>
        </w:r>
        <w:r w:rsidRPr="002424FF">
          <w:rPr>
            <w:rFonts w:asciiTheme="minorHAnsi" w:eastAsiaTheme="minorEastAsia" w:hAnsiTheme="minorHAnsi"/>
            <w:b w:val="0"/>
            <w:bCs w:val="0"/>
            <w:caps w:val="0"/>
            <w:noProof/>
            <w:sz w:val="22"/>
            <w:szCs w:val="22"/>
            <w:lang w:eastAsia="nl-BE"/>
          </w:rPr>
          <w:tab/>
        </w:r>
        <w:r w:rsidRPr="002424FF">
          <w:rPr>
            <w:rStyle w:val="Hyperlink"/>
            <w:b w:val="0"/>
            <w:noProof/>
          </w:rPr>
          <w:t>Informatie over de aanbieding van beleggingsinstrumenten</w:t>
        </w:r>
        <w:r w:rsidRPr="002424FF">
          <w:rPr>
            <w:b w:val="0"/>
            <w:noProof/>
            <w:webHidden/>
          </w:rPr>
          <w:tab/>
        </w:r>
        <w:r w:rsidRPr="002424FF">
          <w:rPr>
            <w:b w:val="0"/>
            <w:noProof/>
            <w:webHidden/>
          </w:rPr>
          <w:fldChar w:fldCharType="begin"/>
        </w:r>
        <w:r w:rsidRPr="002424FF">
          <w:rPr>
            <w:b w:val="0"/>
            <w:noProof/>
            <w:webHidden/>
          </w:rPr>
          <w:instrText xml:space="preserve"> PAGEREF _Toc1734423 \h </w:instrText>
        </w:r>
        <w:r w:rsidRPr="002424FF">
          <w:rPr>
            <w:b w:val="0"/>
            <w:noProof/>
            <w:webHidden/>
          </w:rPr>
        </w:r>
        <w:r w:rsidRPr="002424FF">
          <w:rPr>
            <w:b w:val="0"/>
            <w:noProof/>
            <w:webHidden/>
          </w:rPr>
          <w:fldChar w:fldCharType="separate"/>
        </w:r>
        <w:r w:rsidR="001F4D1D">
          <w:rPr>
            <w:b w:val="0"/>
            <w:noProof/>
            <w:webHidden/>
          </w:rPr>
          <w:t>10</w:t>
        </w:r>
        <w:r w:rsidRPr="002424FF">
          <w:rPr>
            <w:b w:val="0"/>
            <w:noProof/>
            <w:webHidden/>
          </w:rPr>
          <w:fldChar w:fldCharType="end"/>
        </w:r>
      </w:hyperlink>
    </w:p>
    <w:p w14:paraId="3FFFE4CA" w14:textId="75188E55" w:rsidR="002424FF" w:rsidRPr="002424FF" w:rsidRDefault="002424FF" w:rsidP="003D106F">
      <w:pPr>
        <w:pStyle w:val="TOC2"/>
        <w:rPr>
          <w:rFonts w:eastAsiaTheme="minorEastAsia" w:cstheme="minorBidi"/>
          <w:noProof/>
          <w:sz w:val="22"/>
          <w:szCs w:val="22"/>
          <w:lang w:eastAsia="nl-BE"/>
        </w:rPr>
      </w:pPr>
      <w:hyperlink w:anchor="_Toc1734424" w:history="1">
        <w:r w:rsidRPr="002424FF">
          <w:rPr>
            <w:rStyle w:val="Hyperlink"/>
            <w:b w:val="0"/>
            <w:noProof/>
          </w:rPr>
          <w:t>3.1</w:t>
        </w:r>
        <w:r w:rsidRPr="002424FF">
          <w:rPr>
            <w:rFonts w:eastAsiaTheme="minorEastAsia" w:cstheme="minorBidi"/>
            <w:noProof/>
            <w:sz w:val="22"/>
            <w:szCs w:val="22"/>
            <w:lang w:eastAsia="nl-BE"/>
          </w:rPr>
          <w:tab/>
        </w:r>
        <w:r w:rsidRPr="002424FF">
          <w:rPr>
            <w:rStyle w:val="Hyperlink"/>
            <w:b w:val="0"/>
            <w:noProof/>
          </w:rPr>
          <w:t>Beschrijving van de aanbieding</w:t>
        </w:r>
        <w:r w:rsidRPr="002424FF">
          <w:rPr>
            <w:noProof/>
            <w:webHidden/>
          </w:rPr>
          <w:tab/>
        </w:r>
        <w:r w:rsidRPr="002424FF">
          <w:rPr>
            <w:noProof/>
            <w:webHidden/>
          </w:rPr>
          <w:fldChar w:fldCharType="begin"/>
        </w:r>
        <w:r w:rsidRPr="002424FF">
          <w:rPr>
            <w:noProof/>
            <w:webHidden/>
          </w:rPr>
          <w:instrText xml:space="preserve"> PAGEREF _Toc1734424 \h </w:instrText>
        </w:r>
        <w:r w:rsidRPr="002424FF">
          <w:rPr>
            <w:noProof/>
            <w:webHidden/>
          </w:rPr>
        </w:r>
        <w:r w:rsidRPr="002424FF">
          <w:rPr>
            <w:noProof/>
            <w:webHidden/>
          </w:rPr>
          <w:fldChar w:fldCharType="separate"/>
        </w:r>
        <w:r w:rsidR="001F4D1D">
          <w:rPr>
            <w:noProof/>
            <w:webHidden/>
          </w:rPr>
          <w:t>10</w:t>
        </w:r>
        <w:r w:rsidRPr="002424FF">
          <w:rPr>
            <w:noProof/>
            <w:webHidden/>
          </w:rPr>
          <w:fldChar w:fldCharType="end"/>
        </w:r>
      </w:hyperlink>
    </w:p>
    <w:p w14:paraId="56F8FD1C" w14:textId="479549F6" w:rsidR="002424FF" w:rsidRPr="002424FF" w:rsidRDefault="002424FF" w:rsidP="003D106F">
      <w:pPr>
        <w:pStyle w:val="TOC2"/>
        <w:rPr>
          <w:rFonts w:eastAsiaTheme="minorEastAsia" w:cstheme="minorBidi"/>
          <w:noProof/>
          <w:sz w:val="22"/>
          <w:szCs w:val="22"/>
          <w:lang w:eastAsia="nl-BE"/>
        </w:rPr>
      </w:pPr>
      <w:hyperlink w:anchor="_Toc1734425" w:history="1">
        <w:r w:rsidRPr="002424FF">
          <w:rPr>
            <w:rStyle w:val="Hyperlink"/>
            <w:b w:val="0"/>
            <w:noProof/>
          </w:rPr>
          <w:t>3.2</w:t>
        </w:r>
        <w:r w:rsidRPr="002424FF">
          <w:rPr>
            <w:rFonts w:eastAsiaTheme="minorEastAsia" w:cstheme="minorBidi"/>
            <w:noProof/>
            <w:sz w:val="22"/>
            <w:szCs w:val="22"/>
            <w:lang w:eastAsia="nl-BE"/>
          </w:rPr>
          <w:tab/>
        </w:r>
        <w:r w:rsidRPr="002424FF">
          <w:rPr>
            <w:rStyle w:val="Hyperlink"/>
            <w:b w:val="0"/>
            <w:noProof/>
          </w:rPr>
          <w:t>Redenen voor de aanbieding</w:t>
        </w:r>
        <w:r w:rsidRPr="002424FF">
          <w:rPr>
            <w:noProof/>
            <w:webHidden/>
          </w:rPr>
          <w:tab/>
        </w:r>
        <w:r w:rsidRPr="002424FF">
          <w:rPr>
            <w:noProof/>
            <w:webHidden/>
          </w:rPr>
          <w:fldChar w:fldCharType="begin"/>
        </w:r>
        <w:r w:rsidRPr="002424FF">
          <w:rPr>
            <w:noProof/>
            <w:webHidden/>
          </w:rPr>
          <w:instrText xml:space="preserve"> PAGEREF _Toc1734425 \h </w:instrText>
        </w:r>
        <w:r w:rsidRPr="002424FF">
          <w:rPr>
            <w:noProof/>
            <w:webHidden/>
          </w:rPr>
        </w:r>
        <w:r w:rsidRPr="002424FF">
          <w:rPr>
            <w:noProof/>
            <w:webHidden/>
          </w:rPr>
          <w:fldChar w:fldCharType="separate"/>
        </w:r>
        <w:r w:rsidR="001F4D1D">
          <w:rPr>
            <w:noProof/>
            <w:webHidden/>
          </w:rPr>
          <w:t>12</w:t>
        </w:r>
        <w:r w:rsidRPr="002424FF">
          <w:rPr>
            <w:noProof/>
            <w:webHidden/>
          </w:rPr>
          <w:fldChar w:fldCharType="end"/>
        </w:r>
      </w:hyperlink>
    </w:p>
    <w:p w14:paraId="2913124F" w14:textId="3EE834BF" w:rsidR="002424FF" w:rsidRPr="002424FF" w:rsidRDefault="002424FF">
      <w:pPr>
        <w:pStyle w:val="TOC1"/>
        <w:tabs>
          <w:tab w:val="left" w:pos="440"/>
          <w:tab w:val="right" w:leader="dot" w:pos="9062"/>
        </w:tabs>
        <w:rPr>
          <w:rFonts w:asciiTheme="minorHAnsi" w:eastAsiaTheme="minorEastAsia" w:hAnsiTheme="minorHAnsi"/>
          <w:b w:val="0"/>
          <w:bCs w:val="0"/>
          <w:caps w:val="0"/>
          <w:noProof/>
          <w:sz w:val="22"/>
          <w:szCs w:val="22"/>
          <w:lang w:eastAsia="nl-BE"/>
        </w:rPr>
      </w:pPr>
      <w:hyperlink w:anchor="_Toc1734426" w:history="1">
        <w:r w:rsidRPr="002424FF">
          <w:rPr>
            <w:rStyle w:val="Hyperlink"/>
            <w:b w:val="0"/>
            <w:noProof/>
          </w:rPr>
          <w:t>4.</w:t>
        </w:r>
        <w:r w:rsidRPr="002424FF">
          <w:rPr>
            <w:rFonts w:asciiTheme="minorHAnsi" w:eastAsiaTheme="minorEastAsia" w:hAnsiTheme="minorHAnsi"/>
            <w:b w:val="0"/>
            <w:bCs w:val="0"/>
            <w:caps w:val="0"/>
            <w:noProof/>
            <w:sz w:val="22"/>
            <w:szCs w:val="22"/>
            <w:lang w:eastAsia="nl-BE"/>
          </w:rPr>
          <w:tab/>
        </w:r>
        <w:r w:rsidRPr="002424FF">
          <w:rPr>
            <w:rStyle w:val="Hyperlink"/>
            <w:b w:val="0"/>
            <w:noProof/>
          </w:rPr>
          <w:t>Informatie over de aangeboden beleggingsinstrumenten</w:t>
        </w:r>
        <w:r w:rsidRPr="002424FF">
          <w:rPr>
            <w:b w:val="0"/>
            <w:noProof/>
            <w:webHidden/>
          </w:rPr>
          <w:tab/>
        </w:r>
        <w:r w:rsidRPr="002424FF">
          <w:rPr>
            <w:b w:val="0"/>
            <w:noProof/>
            <w:webHidden/>
          </w:rPr>
          <w:fldChar w:fldCharType="begin"/>
        </w:r>
        <w:r w:rsidRPr="002424FF">
          <w:rPr>
            <w:b w:val="0"/>
            <w:noProof/>
            <w:webHidden/>
          </w:rPr>
          <w:instrText xml:space="preserve"> PAGEREF _Toc1734426 \h </w:instrText>
        </w:r>
        <w:r w:rsidRPr="002424FF">
          <w:rPr>
            <w:b w:val="0"/>
            <w:noProof/>
            <w:webHidden/>
          </w:rPr>
        </w:r>
        <w:r w:rsidRPr="002424FF">
          <w:rPr>
            <w:b w:val="0"/>
            <w:noProof/>
            <w:webHidden/>
          </w:rPr>
          <w:fldChar w:fldCharType="separate"/>
        </w:r>
        <w:r w:rsidR="001F4D1D">
          <w:rPr>
            <w:b w:val="0"/>
            <w:noProof/>
            <w:webHidden/>
          </w:rPr>
          <w:t>12</w:t>
        </w:r>
        <w:r w:rsidRPr="002424FF">
          <w:rPr>
            <w:b w:val="0"/>
            <w:noProof/>
            <w:webHidden/>
          </w:rPr>
          <w:fldChar w:fldCharType="end"/>
        </w:r>
      </w:hyperlink>
    </w:p>
    <w:p w14:paraId="5BB23332" w14:textId="3ECBB783" w:rsidR="002424FF" w:rsidRPr="002424FF" w:rsidRDefault="002424FF" w:rsidP="003D106F">
      <w:pPr>
        <w:pStyle w:val="TOC2"/>
        <w:rPr>
          <w:rFonts w:eastAsiaTheme="minorEastAsia" w:cstheme="minorBidi"/>
          <w:noProof/>
          <w:sz w:val="22"/>
          <w:szCs w:val="22"/>
          <w:lang w:eastAsia="nl-BE"/>
        </w:rPr>
      </w:pPr>
      <w:hyperlink w:anchor="_Toc1734427" w:history="1">
        <w:r w:rsidRPr="002424FF">
          <w:rPr>
            <w:rStyle w:val="Hyperlink"/>
            <w:b w:val="0"/>
            <w:noProof/>
          </w:rPr>
          <w:t>4.1</w:t>
        </w:r>
        <w:r w:rsidRPr="002424FF">
          <w:rPr>
            <w:rFonts w:eastAsiaTheme="minorEastAsia" w:cstheme="minorBidi"/>
            <w:noProof/>
            <w:sz w:val="22"/>
            <w:szCs w:val="22"/>
            <w:lang w:eastAsia="nl-BE"/>
          </w:rPr>
          <w:tab/>
        </w:r>
        <w:r w:rsidRPr="002424FF">
          <w:rPr>
            <w:rStyle w:val="Hyperlink"/>
            <w:b w:val="0"/>
            <w:noProof/>
          </w:rPr>
          <w:t>Kenmerken van de aangeboden beleggingsinstrumenten</w:t>
        </w:r>
        <w:r w:rsidRPr="002424FF">
          <w:rPr>
            <w:noProof/>
            <w:webHidden/>
          </w:rPr>
          <w:tab/>
        </w:r>
        <w:r w:rsidRPr="002424FF">
          <w:rPr>
            <w:noProof/>
            <w:webHidden/>
          </w:rPr>
          <w:fldChar w:fldCharType="begin"/>
        </w:r>
        <w:r w:rsidRPr="002424FF">
          <w:rPr>
            <w:noProof/>
            <w:webHidden/>
          </w:rPr>
          <w:instrText xml:space="preserve"> PAGEREF _Toc1734427 \h </w:instrText>
        </w:r>
        <w:r w:rsidRPr="002424FF">
          <w:rPr>
            <w:noProof/>
            <w:webHidden/>
          </w:rPr>
        </w:r>
        <w:r w:rsidRPr="002424FF">
          <w:rPr>
            <w:noProof/>
            <w:webHidden/>
          </w:rPr>
          <w:fldChar w:fldCharType="separate"/>
        </w:r>
        <w:r w:rsidR="001F4D1D">
          <w:rPr>
            <w:noProof/>
            <w:webHidden/>
          </w:rPr>
          <w:t>12</w:t>
        </w:r>
        <w:r w:rsidRPr="002424FF">
          <w:rPr>
            <w:noProof/>
            <w:webHidden/>
          </w:rPr>
          <w:fldChar w:fldCharType="end"/>
        </w:r>
      </w:hyperlink>
    </w:p>
    <w:p w14:paraId="5E62DE7A" w14:textId="03E0BB28" w:rsidR="002424FF" w:rsidRDefault="002424FF">
      <w:pPr>
        <w:pStyle w:val="TOC1"/>
        <w:tabs>
          <w:tab w:val="left" w:pos="440"/>
          <w:tab w:val="right" w:leader="dot" w:pos="9062"/>
        </w:tabs>
        <w:rPr>
          <w:rFonts w:asciiTheme="minorHAnsi" w:eastAsiaTheme="minorEastAsia" w:hAnsiTheme="minorHAnsi"/>
          <w:b w:val="0"/>
          <w:bCs w:val="0"/>
          <w:caps w:val="0"/>
          <w:noProof/>
          <w:sz w:val="22"/>
          <w:szCs w:val="22"/>
          <w:lang w:eastAsia="nl-BE"/>
        </w:rPr>
      </w:pPr>
      <w:hyperlink w:anchor="_Toc1734428" w:history="1">
        <w:r w:rsidRPr="002424FF">
          <w:rPr>
            <w:rStyle w:val="Hyperlink"/>
            <w:b w:val="0"/>
            <w:noProof/>
          </w:rPr>
          <w:t>5.</w:t>
        </w:r>
        <w:r w:rsidRPr="002424FF">
          <w:rPr>
            <w:rFonts w:asciiTheme="minorHAnsi" w:eastAsiaTheme="minorEastAsia" w:hAnsiTheme="minorHAnsi"/>
            <w:b w:val="0"/>
            <w:bCs w:val="0"/>
            <w:caps w:val="0"/>
            <w:noProof/>
            <w:sz w:val="22"/>
            <w:szCs w:val="22"/>
            <w:lang w:eastAsia="nl-BE"/>
          </w:rPr>
          <w:tab/>
        </w:r>
        <w:r w:rsidRPr="002424FF">
          <w:rPr>
            <w:rStyle w:val="Hyperlink"/>
            <w:b w:val="0"/>
            <w:noProof/>
          </w:rPr>
          <w:t>Andere belangrijke informatie voor de beleggers</w:t>
        </w:r>
        <w:r w:rsidRPr="002424FF">
          <w:rPr>
            <w:b w:val="0"/>
            <w:noProof/>
            <w:webHidden/>
          </w:rPr>
          <w:tab/>
        </w:r>
        <w:r w:rsidRPr="002424FF">
          <w:rPr>
            <w:b w:val="0"/>
            <w:noProof/>
            <w:webHidden/>
          </w:rPr>
          <w:fldChar w:fldCharType="begin"/>
        </w:r>
        <w:r w:rsidRPr="002424FF">
          <w:rPr>
            <w:b w:val="0"/>
            <w:noProof/>
            <w:webHidden/>
          </w:rPr>
          <w:instrText xml:space="preserve"> PAGEREF _Toc1734428 \h </w:instrText>
        </w:r>
        <w:r w:rsidRPr="002424FF">
          <w:rPr>
            <w:b w:val="0"/>
            <w:noProof/>
            <w:webHidden/>
          </w:rPr>
        </w:r>
        <w:r w:rsidRPr="002424FF">
          <w:rPr>
            <w:b w:val="0"/>
            <w:noProof/>
            <w:webHidden/>
          </w:rPr>
          <w:fldChar w:fldCharType="separate"/>
        </w:r>
        <w:r w:rsidR="001F4D1D">
          <w:rPr>
            <w:b w:val="0"/>
            <w:noProof/>
            <w:webHidden/>
          </w:rPr>
          <w:t>13</w:t>
        </w:r>
        <w:r w:rsidRPr="002424FF">
          <w:rPr>
            <w:b w:val="0"/>
            <w:noProof/>
            <w:webHidden/>
          </w:rPr>
          <w:fldChar w:fldCharType="end"/>
        </w:r>
      </w:hyperlink>
    </w:p>
    <w:p w14:paraId="11FDDBF2" w14:textId="77777777" w:rsidR="00091E64" w:rsidRDefault="002424FF">
      <w:pPr>
        <w:rPr>
          <w:lang w:val="en-US"/>
        </w:rPr>
      </w:pPr>
      <w:r>
        <w:rPr>
          <w:lang w:val="en-US"/>
        </w:rPr>
        <w:fldChar w:fldCharType="end"/>
      </w:r>
      <w:r w:rsidR="00091E64">
        <w:rPr>
          <w:lang w:val="en-US"/>
        </w:rPr>
        <w:br w:type="page"/>
      </w:r>
    </w:p>
    <w:p w14:paraId="52EB7C6C" w14:textId="77777777" w:rsidR="00091E64" w:rsidRDefault="00091E64">
      <w:pPr>
        <w:rPr>
          <w:lang w:val="en-US"/>
        </w:rPr>
        <w:sectPr w:rsidR="00091E64" w:rsidSect="001A34C9">
          <w:footerReference w:type="default" r:id="rId8"/>
          <w:type w:val="continuous"/>
          <w:pgSz w:w="11906" w:h="16838"/>
          <w:pgMar w:top="1417" w:right="1417" w:bottom="1417" w:left="1417" w:header="708" w:footer="708" w:gutter="0"/>
          <w:pgNumType w:chapStyle="1"/>
          <w:cols w:space="708"/>
          <w:docGrid w:linePitch="360"/>
        </w:sectPr>
      </w:pPr>
    </w:p>
    <w:p w14:paraId="2F112D34" w14:textId="77777777" w:rsidR="00B7377C" w:rsidRPr="004E1FBE" w:rsidRDefault="005A08E0" w:rsidP="00257296">
      <w:pPr>
        <w:pStyle w:val="Style1"/>
      </w:pPr>
      <w:bookmarkStart w:id="0" w:name="_Toc1575362"/>
      <w:bookmarkStart w:id="1" w:name="_Toc1734415"/>
      <w:r w:rsidRPr="004E1FBE">
        <w:lastRenderedPageBreak/>
        <w:t>Belangrijkste risico’s die inherent zijn aan de uitgevende instelling en de aangeboden beleggingsinstrumenten, en die specifiek zijn voor de betrokken aanbieding</w:t>
      </w:r>
      <w:bookmarkEnd w:id="0"/>
      <w:bookmarkEnd w:id="1"/>
    </w:p>
    <w:p w14:paraId="40FFE1EE" w14:textId="2125720A" w:rsidR="005A08E0" w:rsidRDefault="005A08E0" w:rsidP="005A08E0">
      <w:r>
        <w:t>Een belegging in aandelen houdt bepaalde risico’s in. Door in te schrijven op de uitgifte</w:t>
      </w:r>
      <w:r w:rsidR="008C57A1">
        <w:t xml:space="preserve"> van </w:t>
      </w:r>
      <w:r w:rsidR="0092307F">
        <w:t>aandelen</w:t>
      </w:r>
      <w:r>
        <w:t xml:space="preserve"> verschaffen de inschrijvers </w:t>
      </w:r>
      <w:r w:rsidR="008C57A1">
        <w:t xml:space="preserve">vermogen </w:t>
      </w:r>
      <w:r>
        <w:t xml:space="preserve">aan de </w:t>
      </w:r>
      <w:r w:rsidR="008C57A1">
        <w:t>Maatschap</w:t>
      </w:r>
      <w:r>
        <w:t xml:space="preserve">. Het </w:t>
      </w:r>
      <w:r w:rsidR="008C57A1">
        <w:t xml:space="preserve">vermogen </w:t>
      </w:r>
      <w:r>
        <w:t xml:space="preserve">van de </w:t>
      </w:r>
      <w:r w:rsidR="00341476">
        <w:t>M</w:t>
      </w:r>
      <w:r w:rsidR="008C57A1">
        <w:t>aat</w:t>
      </w:r>
      <w:r>
        <w:t xml:space="preserve">schap wordt voor onbepaalde tijd binnen de </w:t>
      </w:r>
      <w:r w:rsidR="008C57A1">
        <w:t>maats</w:t>
      </w:r>
      <w:r>
        <w:t xml:space="preserve">chap gehouden en er is geen terugbetaling voorzien. In geval van </w:t>
      </w:r>
      <w:r w:rsidR="001C1D8D">
        <w:t xml:space="preserve">ontbinding </w:t>
      </w:r>
      <w:r>
        <w:t xml:space="preserve">van, of </w:t>
      </w:r>
      <w:r w:rsidR="000503F5">
        <w:t xml:space="preserve">in gebreke </w:t>
      </w:r>
      <w:r w:rsidR="00856BB7">
        <w:t>blijven door</w:t>
      </w:r>
      <w:r>
        <w:t xml:space="preserve"> de </w:t>
      </w:r>
      <w:r w:rsidR="00341476">
        <w:t>M</w:t>
      </w:r>
      <w:r w:rsidR="001C1D8D">
        <w:t>aatschap</w:t>
      </w:r>
      <w:r>
        <w:t>, lopen de</w:t>
      </w:r>
      <w:r w:rsidR="00E46B50">
        <w:t xml:space="preserve"> vennoten</w:t>
      </w:r>
      <w:r w:rsidR="001C1D8D">
        <w:t xml:space="preserve"> </w:t>
      </w:r>
      <w:r>
        <w:t xml:space="preserve">het risico om het geïnvesteerde </w:t>
      </w:r>
      <w:r w:rsidR="001C1D8D">
        <w:t xml:space="preserve">vermogen </w:t>
      </w:r>
      <w:r>
        <w:t>geheel of gedeeltelijk te verliezen.</w:t>
      </w:r>
    </w:p>
    <w:p w14:paraId="338B5096" w14:textId="71BC1269" w:rsidR="005A08E0" w:rsidRPr="004E1FBE" w:rsidRDefault="005A08E0" w:rsidP="005A08E0">
      <w:pPr>
        <w:rPr>
          <w:u w:val="single"/>
        </w:rPr>
      </w:pPr>
      <w:r w:rsidRPr="004E1FBE">
        <w:rPr>
          <w:u w:val="single"/>
        </w:rPr>
        <w:t xml:space="preserve">Elke beslissing om in deze </w:t>
      </w:r>
      <w:r w:rsidR="00D060B3">
        <w:rPr>
          <w:u w:val="single"/>
        </w:rPr>
        <w:t>aandelen</w:t>
      </w:r>
      <w:r w:rsidR="001C1D8D" w:rsidRPr="004E1FBE">
        <w:rPr>
          <w:u w:val="single"/>
        </w:rPr>
        <w:t xml:space="preserve"> </w:t>
      </w:r>
      <w:r w:rsidRPr="004E1FBE">
        <w:rPr>
          <w:u w:val="single"/>
        </w:rPr>
        <w:t xml:space="preserve">te investeren, moet uitsluitend gebaseerd zijn op de informatie in deze informatienota. Elke potentiële belegger moet zorgvuldig overwegen of een belegging in de </w:t>
      </w:r>
      <w:r w:rsidR="00D060B3">
        <w:rPr>
          <w:u w:val="single"/>
        </w:rPr>
        <w:t>aandelen</w:t>
      </w:r>
      <w:r w:rsidR="001C1D8D" w:rsidRPr="004E1FBE">
        <w:rPr>
          <w:u w:val="single"/>
        </w:rPr>
        <w:t xml:space="preserve"> </w:t>
      </w:r>
      <w:r w:rsidRPr="004E1FBE">
        <w:rPr>
          <w:u w:val="single"/>
        </w:rPr>
        <w:t xml:space="preserve">geschikt voor hem is, rekening houdend met zijn kennis en financiële ervaring, en moet indien nodig professioneel advies inwinnen. </w:t>
      </w:r>
    </w:p>
    <w:p w14:paraId="029F5E44" w14:textId="105EF98B" w:rsidR="004E1FBE" w:rsidRPr="004E1FBE" w:rsidRDefault="004E1FBE" w:rsidP="005A08E0">
      <w:pPr>
        <w:rPr>
          <w:u w:val="single"/>
        </w:rPr>
      </w:pPr>
      <w:r w:rsidRPr="004E1FBE">
        <w:rPr>
          <w:u w:val="single"/>
        </w:rPr>
        <w:t xml:space="preserve">Voordat ze in de </w:t>
      </w:r>
      <w:r w:rsidR="00DE1E5D">
        <w:rPr>
          <w:u w:val="single"/>
        </w:rPr>
        <w:t>aandelen</w:t>
      </w:r>
      <w:r w:rsidR="001C1D8D" w:rsidRPr="004E1FBE">
        <w:rPr>
          <w:u w:val="single"/>
        </w:rPr>
        <w:t xml:space="preserve"> </w:t>
      </w:r>
      <w:r w:rsidRPr="004E1FBE">
        <w:rPr>
          <w:u w:val="single"/>
        </w:rPr>
        <w:t xml:space="preserve">beleggen, moeten de potentiële beleggers deze informatienota, met inbegrip van “Deel 1: Risicofactoren” op pagina’s </w:t>
      </w:r>
      <w:r w:rsidR="00BA1848">
        <w:rPr>
          <w:u w:val="single"/>
        </w:rPr>
        <w:t>1</w:t>
      </w:r>
      <w:r w:rsidRPr="004E1FBE">
        <w:rPr>
          <w:u w:val="single"/>
        </w:rPr>
        <w:t xml:space="preserve"> t.e.m. </w:t>
      </w:r>
      <w:r w:rsidR="00BA1848">
        <w:rPr>
          <w:u w:val="single"/>
        </w:rPr>
        <w:t>4</w:t>
      </w:r>
      <w:r w:rsidR="0086722A" w:rsidRPr="004E1FBE">
        <w:rPr>
          <w:u w:val="single"/>
        </w:rPr>
        <w:t xml:space="preserve"> </w:t>
      </w:r>
      <w:r w:rsidRPr="004E1FBE">
        <w:rPr>
          <w:u w:val="single"/>
        </w:rPr>
        <w:t xml:space="preserve">volledig en aandachtig lezen. </w:t>
      </w:r>
    </w:p>
    <w:p w14:paraId="36F00D07" w14:textId="260BC9D0" w:rsidR="005A08E0" w:rsidRDefault="004E1FBE" w:rsidP="005A08E0">
      <w:r>
        <w:t xml:space="preserve">Vooraleer een beleggingsbeslissing te nemen omtrent de </w:t>
      </w:r>
      <w:r w:rsidR="00DE1E5D">
        <w:t>aandelen</w:t>
      </w:r>
      <w:r>
        <w:t>, worden potentiële beleggers verzocht aandachtig de volgende risicofactoren te onderzoeken, waarin zowel de risico</w:t>
      </w:r>
      <w:r w:rsidR="000503F5">
        <w:t>’</w:t>
      </w:r>
      <w:r>
        <w:t xml:space="preserve">s eigen aan de </w:t>
      </w:r>
      <w:r w:rsidR="00DE1E5D">
        <w:t>aandelen</w:t>
      </w:r>
      <w:r w:rsidR="001C1D8D">
        <w:t xml:space="preserve"> </w:t>
      </w:r>
      <w:r>
        <w:t xml:space="preserve">zijn opgenomen alsook de risicofactoren die een invloed kunnen hebben op het vermogen van de </w:t>
      </w:r>
      <w:r w:rsidR="001C1D8D">
        <w:t>Maatschap</w:t>
      </w:r>
      <w:r>
        <w:t>.</w:t>
      </w:r>
    </w:p>
    <w:p w14:paraId="32309379" w14:textId="2197524C" w:rsidR="004E1FBE" w:rsidRDefault="004E1FBE" w:rsidP="005A08E0">
      <w:r>
        <w:t>De hierna beschreven risico</w:t>
      </w:r>
      <w:r w:rsidR="000503F5">
        <w:t>’</w:t>
      </w:r>
      <w:r>
        <w:t>s en onzekerheden zijn niet de enige risico</w:t>
      </w:r>
      <w:r w:rsidR="000503F5">
        <w:t>’</w:t>
      </w:r>
      <w:r>
        <w:t xml:space="preserve">s en onzekerheden die een invloed hebben op de </w:t>
      </w:r>
      <w:r w:rsidR="001C1D8D">
        <w:t>Maatschap</w:t>
      </w:r>
      <w:r>
        <w:t>. Andere risico</w:t>
      </w:r>
      <w:r w:rsidR="000503F5">
        <w:t>’</w:t>
      </w:r>
      <w:r>
        <w:t xml:space="preserve">s en onzekerheden die op de datum van deze informatienota nog ongekend zijn of als immaterieel werden beschouwd, kunnen eveneens een schadelijke invloed hebben op de bedrijfsoperaties of op </w:t>
      </w:r>
      <w:r w:rsidR="001C1D8D">
        <w:t xml:space="preserve">de </w:t>
      </w:r>
      <w:r w:rsidR="000503F5">
        <w:t xml:space="preserve">(onderliggende) </w:t>
      </w:r>
      <w:r w:rsidR="001C1D8D">
        <w:t xml:space="preserve">waarde van de </w:t>
      </w:r>
      <w:r w:rsidR="00DE1E5D">
        <w:t>aandelen</w:t>
      </w:r>
      <w:r>
        <w:t xml:space="preserve">. </w:t>
      </w:r>
      <w:r w:rsidR="00731943">
        <w:t>Als</w:t>
      </w:r>
      <w:r>
        <w:t xml:space="preserve"> één van de volgende risico’s zich voordoet, kunnen de activite</w:t>
      </w:r>
      <w:r w:rsidR="00731943">
        <w:t>i</w:t>
      </w:r>
      <w:r>
        <w:t xml:space="preserve">ten, financiële situatie of operationele resultaten van de </w:t>
      </w:r>
      <w:r w:rsidR="00C86193">
        <w:t xml:space="preserve">Maatschap </w:t>
      </w:r>
      <w:r>
        <w:t xml:space="preserve">zwaar en ongunstig worden getroffen. In dat geval kunnen de beleggers hun belegging geheel of gedeeltelijk verliezen. De </w:t>
      </w:r>
      <w:r w:rsidR="00C86193">
        <w:t xml:space="preserve">Maatschap </w:t>
      </w:r>
      <w:r>
        <w:t xml:space="preserve">heeft geen weet van andere (materiële) risico’s op vandaag dan deze zoals hierna beschreven. </w:t>
      </w:r>
    </w:p>
    <w:p w14:paraId="5D15ED1C" w14:textId="444BC6C9" w:rsidR="00D56F71" w:rsidRDefault="004E1FBE" w:rsidP="005A08E0">
      <w:r>
        <w:t xml:space="preserve">In geval van twijfel over het risico </w:t>
      </w:r>
      <w:r w:rsidR="00341476">
        <w:t xml:space="preserve">van </w:t>
      </w:r>
      <w:r>
        <w:t xml:space="preserve">de </w:t>
      </w:r>
      <w:r w:rsidR="00C86193">
        <w:t>Maats</w:t>
      </w:r>
      <w:r>
        <w:t xml:space="preserve">chap worden beleggers verzocht om een gespecialiseerd financieel adviseur te raadplegen of, in voorkomend geval, af te zien van enige investeringsbeslissing aangaande de </w:t>
      </w:r>
      <w:r w:rsidR="00C86193">
        <w:t>Maat</w:t>
      </w:r>
      <w:r>
        <w:t>schap.</w:t>
      </w:r>
    </w:p>
    <w:p w14:paraId="0C964FD8" w14:textId="1B7B1D0B" w:rsidR="004E1FBE" w:rsidRDefault="004E1FBE" w:rsidP="005A08E0">
      <w:r>
        <w:t xml:space="preserve"> </w:t>
      </w:r>
    </w:p>
    <w:p w14:paraId="7D81BE7F" w14:textId="68480502" w:rsidR="005A08E0" w:rsidRPr="00193192" w:rsidRDefault="00726DA2" w:rsidP="00257296">
      <w:pPr>
        <w:pStyle w:val="Style2"/>
      </w:pPr>
      <w:bookmarkStart w:id="2" w:name="_Toc1575363"/>
      <w:bookmarkStart w:id="3" w:name="_Toc1734416"/>
      <w:r w:rsidRPr="00193192">
        <w:t xml:space="preserve">Risicofactoren eigen aan de </w:t>
      </w:r>
      <w:bookmarkEnd w:id="2"/>
      <w:bookmarkEnd w:id="3"/>
      <w:r w:rsidR="00C86193">
        <w:t>Maa</w:t>
      </w:r>
      <w:r w:rsidR="00C86193" w:rsidRPr="00193192">
        <w:t xml:space="preserve">tschap </w:t>
      </w:r>
    </w:p>
    <w:p w14:paraId="757614B4" w14:textId="2B0F5224" w:rsidR="00726DA2" w:rsidRDefault="00726DA2" w:rsidP="00257296">
      <w:pPr>
        <w:pStyle w:val="Style3"/>
      </w:pPr>
      <w:bookmarkStart w:id="4" w:name="_Toc1575364"/>
      <w:r>
        <w:t>Geen operationele activiteit</w:t>
      </w:r>
      <w:r w:rsidR="0005444A">
        <w:t xml:space="preserve"> in de </w:t>
      </w:r>
      <w:bookmarkEnd w:id="4"/>
      <w:r w:rsidR="009E09E4">
        <w:t>Maatschap</w:t>
      </w:r>
    </w:p>
    <w:p w14:paraId="4E054649" w14:textId="4E19817D" w:rsidR="00726DA2" w:rsidRDefault="00726DA2" w:rsidP="00726DA2">
      <w:r>
        <w:t xml:space="preserve">De </w:t>
      </w:r>
      <w:r w:rsidR="009E09E4">
        <w:t xml:space="preserve">Maatschap </w:t>
      </w:r>
      <w:r>
        <w:t>is zelf geen operationele vennootschap actief in de IT-sector maar investeert</w:t>
      </w:r>
      <w:r w:rsidR="00092836">
        <w:t xml:space="preserve"> haar middelen</w:t>
      </w:r>
      <w:r>
        <w:t xml:space="preserve"> </w:t>
      </w:r>
      <w:r w:rsidR="00341476">
        <w:t xml:space="preserve">exclusief </w:t>
      </w:r>
      <w:r>
        <w:t>in aandelen van</w:t>
      </w:r>
      <w:r w:rsidR="00341476">
        <w:t xml:space="preserve"> de besloten vennootschap Empart II. Deze laatste herinvesteert deze middelen exclusief in aandelen van De Cronos Groep NV en in aandelen van de besloten vennootschap Empart, die op haar beurt exclusief investeert in aandelen van De Cronos Groep NV</w:t>
      </w:r>
      <w:r>
        <w:t xml:space="preserve">. </w:t>
      </w:r>
      <w:r w:rsidR="00651729">
        <w:t xml:space="preserve">Empart BV en Empart II BV hebben evenmin enige operationele activiteit. </w:t>
      </w:r>
      <w:r>
        <w:t xml:space="preserve">De enige inkomsten die in de </w:t>
      </w:r>
      <w:r w:rsidR="00DB0B5B">
        <w:t xml:space="preserve">Maatschap </w:t>
      </w:r>
      <w:r>
        <w:t xml:space="preserve">gegenereerd worden zijn de inkomsten afkomstig uit dividenduitkeringen van </w:t>
      </w:r>
      <w:r w:rsidR="00DB0B5B">
        <w:t>Empart II BV</w:t>
      </w:r>
      <w:r w:rsidR="00092836">
        <w:t xml:space="preserve">, de verkoop van </w:t>
      </w:r>
      <w:r w:rsidR="00B40D7F">
        <w:t>aandelen</w:t>
      </w:r>
      <w:r w:rsidR="00784CBC">
        <w:t xml:space="preserve"> </w:t>
      </w:r>
      <w:r w:rsidR="00092836">
        <w:t>tegen een meerwaarde</w:t>
      </w:r>
      <w:r>
        <w:t xml:space="preserve"> of rendement op eventueel toegestane leningen vanuit de </w:t>
      </w:r>
      <w:r w:rsidR="00784CBC">
        <w:t>Maatschap</w:t>
      </w:r>
      <w:r>
        <w:t xml:space="preserve">. </w:t>
      </w:r>
    </w:p>
    <w:p w14:paraId="25FBA498" w14:textId="77777777" w:rsidR="00D56F71" w:rsidRDefault="00D56F71" w:rsidP="00726DA2"/>
    <w:p w14:paraId="3B6632F7" w14:textId="77777777" w:rsidR="0005444A" w:rsidRDefault="0005444A" w:rsidP="00257296">
      <w:pPr>
        <w:pStyle w:val="Style3"/>
      </w:pPr>
      <w:bookmarkStart w:id="5" w:name="_Toc1575365"/>
      <w:r>
        <w:lastRenderedPageBreak/>
        <w:t xml:space="preserve">Risico’s met betrekking tot de dochtervennootschappen van het onderliggende actief De </w:t>
      </w:r>
      <w:bookmarkEnd w:id="5"/>
      <w:r w:rsidR="00E44785">
        <w:t>Cronos Groep NV</w:t>
      </w:r>
    </w:p>
    <w:p w14:paraId="5ABDFC67" w14:textId="60CAF963" w:rsidR="0005444A" w:rsidRDefault="0005444A" w:rsidP="0005444A">
      <w:r>
        <w:t xml:space="preserve">De waarde van de </w:t>
      </w:r>
      <w:r w:rsidR="00784CBC">
        <w:t xml:space="preserve">Maatschap </w:t>
      </w:r>
      <w:r>
        <w:t xml:space="preserve">wordt bepaald door de waarde van het onderliggende actief, met name de aandelen in </w:t>
      </w:r>
      <w:r w:rsidR="00784CBC">
        <w:t>Empart II BV</w:t>
      </w:r>
      <w:r w:rsidR="000121C3">
        <w:t xml:space="preserve">, </w:t>
      </w:r>
      <w:r w:rsidR="00651729">
        <w:t xml:space="preserve">en onrechtstreeks de aandelen in </w:t>
      </w:r>
      <w:r w:rsidR="000121C3">
        <w:t>Empart BV</w:t>
      </w:r>
      <w:r w:rsidR="00784CBC">
        <w:t xml:space="preserve"> en </w:t>
      </w:r>
      <w:r w:rsidR="00651729">
        <w:t xml:space="preserve">in </w:t>
      </w:r>
      <w:r>
        <w:t xml:space="preserve">De </w:t>
      </w:r>
      <w:r w:rsidR="00E44785">
        <w:t>Cronos Groep NV</w:t>
      </w:r>
      <w:r w:rsidR="00651729">
        <w:t xml:space="preserve"> (en de dochterondernemingen van deze laatste)</w:t>
      </w:r>
      <w:r>
        <w:t xml:space="preserve">. Vanuit </w:t>
      </w:r>
      <w:r w:rsidR="002F7167">
        <w:t>haar</w:t>
      </w:r>
      <w:r>
        <w:t xml:space="preserve"> rol als shared service center levert De </w:t>
      </w:r>
      <w:r w:rsidR="00E44785">
        <w:t>Cronos Groep NV</w:t>
      </w:r>
      <w:r>
        <w:t xml:space="preserve"> ondersteunende diensten aan </w:t>
      </w:r>
      <w:r w:rsidR="00651729">
        <w:t>haar</w:t>
      </w:r>
      <w:r>
        <w:t xml:space="preserve"> </w:t>
      </w:r>
      <w:r w:rsidR="00651729">
        <w:t xml:space="preserve">(on)rechtstreekse </w:t>
      </w:r>
      <w:r>
        <w:t>dochter</w:t>
      </w:r>
      <w:r w:rsidR="000D3E71">
        <w:t>vennootschapp</w:t>
      </w:r>
      <w:r>
        <w:t xml:space="preserve">en. Dit genereert recurrente omzet bij De </w:t>
      </w:r>
      <w:r w:rsidR="00E44785">
        <w:t>Cronos Groep NV</w:t>
      </w:r>
      <w:r>
        <w:t xml:space="preserve">. </w:t>
      </w:r>
      <w:r w:rsidR="000D3E71">
        <w:t xml:space="preserve">Het overige deel van de opbrengsten van De </w:t>
      </w:r>
      <w:r w:rsidR="00E44785">
        <w:t>Cronos Groep NV</w:t>
      </w:r>
      <w:r w:rsidR="000D3E71">
        <w:t xml:space="preserve"> bestaat voornamelijk uit financiële opbrengsten, afkomstig van ontvangen dividenden</w:t>
      </w:r>
      <w:r w:rsidR="00E008EA">
        <w:t>,</w:t>
      </w:r>
      <w:r w:rsidR="003D5D9E">
        <w:t xml:space="preserve"> </w:t>
      </w:r>
      <w:r w:rsidR="000D3E71">
        <w:t>intresten en gerealiseerde meerwaarden op verkoop van deelnemingen.</w:t>
      </w:r>
    </w:p>
    <w:p w14:paraId="4588F0FB" w14:textId="41CC76B8" w:rsidR="000D3E71" w:rsidRDefault="000D3E71" w:rsidP="0005444A">
      <w:r>
        <w:t>We kunnen niet uitsluiten dat</w:t>
      </w:r>
      <w:r w:rsidR="00651729">
        <w:t>,</w:t>
      </w:r>
      <w:r>
        <w:t xml:space="preserve"> in geval van een materiële claim door een derde partij op een van de dochtermaatschappijen, deze derde partij zich niet ook tot De </w:t>
      </w:r>
      <w:r w:rsidR="00E44785">
        <w:t>Cronos Groep NV</w:t>
      </w:r>
      <w:r>
        <w:t xml:space="preserve"> zou richten. </w:t>
      </w:r>
    </w:p>
    <w:p w14:paraId="3191A6CD" w14:textId="30D27B6E" w:rsidR="000D3E71" w:rsidRDefault="00092836" w:rsidP="0005444A">
      <w:r>
        <w:t>Als</w:t>
      </w:r>
      <w:r w:rsidR="000D3E71">
        <w:t xml:space="preserve"> de dochtervennootschappen in de toekomst onvoldoende operationele resultaten behalen, zou </w:t>
      </w:r>
      <w:r w:rsidR="002F7167">
        <w:t>dit een impact kunnen hebben op het geconsolideerde</w:t>
      </w:r>
      <w:r w:rsidR="000D3E71">
        <w:t xml:space="preserve"> result</w:t>
      </w:r>
      <w:r w:rsidR="002F7167">
        <w:t xml:space="preserve">aat en de geconsolideerde omzet van </w:t>
      </w:r>
      <w:r w:rsidR="008B5260">
        <w:t>D</w:t>
      </w:r>
      <w:r w:rsidR="002F7167">
        <w:t xml:space="preserve">e Cronos Groep NV, wat op haar beurt een impact heeft op de waarde van de aandelen van de Maatschap. </w:t>
      </w:r>
    </w:p>
    <w:p w14:paraId="610A4D0B" w14:textId="77777777" w:rsidR="00D56F71" w:rsidRDefault="00D56F71" w:rsidP="0005444A"/>
    <w:p w14:paraId="3BB8C33D" w14:textId="77777777" w:rsidR="000D3E71" w:rsidRDefault="000D3E71" w:rsidP="00257296">
      <w:pPr>
        <w:pStyle w:val="Style3"/>
      </w:pPr>
      <w:bookmarkStart w:id="6" w:name="_Toc1575366"/>
      <w:r>
        <w:t>Concurrentierisico’s</w:t>
      </w:r>
      <w:bookmarkEnd w:id="6"/>
      <w:r>
        <w:t xml:space="preserve"> </w:t>
      </w:r>
    </w:p>
    <w:p w14:paraId="3A26E0EA" w14:textId="73F807FF" w:rsidR="000D3E71" w:rsidRDefault="000D3E71" w:rsidP="000D3E71">
      <w:r>
        <w:t>Door creativiteit, innovati</w:t>
      </w:r>
      <w:r w:rsidR="00E44785">
        <w:t>e</w:t>
      </w:r>
      <w:r>
        <w:t xml:space="preserve"> en kwaliteit voorop te stellen, is </w:t>
      </w:r>
      <w:r w:rsidR="008B5260">
        <w:t>D</w:t>
      </w:r>
      <w:r>
        <w:t xml:space="preserve">e Cronos </w:t>
      </w:r>
      <w:r w:rsidR="008B5260">
        <w:t>G</w:t>
      </w:r>
      <w:r>
        <w:t>roep</w:t>
      </w:r>
      <w:r w:rsidR="008B5260">
        <w:t xml:space="preserve"> met al haar verbonden ondernemingen (hierna “</w:t>
      </w:r>
      <w:r w:rsidR="008B5260" w:rsidRPr="008B5260">
        <w:rPr>
          <w:b/>
          <w:bCs/>
        </w:rPr>
        <w:t>de Cronos groep</w:t>
      </w:r>
      <w:r w:rsidR="008B5260">
        <w:t>”)</w:t>
      </w:r>
      <w:r>
        <w:t xml:space="preserve"> in de </w:t>
      </w:r>
      <w:r w:rsidR="000503F5">
        <w:t xml:space="preserve">IT-, </w:t>
      </w:r>
      <w:r>
        <w:t xml:space="preserve">marketing- en </w:t>
      </w:r>
      <w:r w:rsidR="002F7167">
        <w:t>communicatiesector uitgegroeid</w:t>
      </w:r>
      <w:r>
        <w:t xml:space="preserve"> tot een van de belangrijkste spelers op de Belgische markt. </w:t>
      </w:r>
    </w:p>
    <w:p w14:paraId="124E8E7E" w14:textId="74813EA6" w:rsidR="009D3776" w:rsidRDefault="000D3E71" w:rsidP="000D3E71">
      <w:r>
        <w:t xml:space="preserve">De IT-sector kent </w:t>
      </w:r>
      <w:r w:rsidR="009D3776">
        <w:t xml:space="preserve">echter </w:t>
      </w:r>
      <w:r>
        <w:t xml:space="preserve">zeer veel nationale en internationale spelers. </w:t>
      </w:r>
      <w:r w:rsidR="009D3776">
        <w:t xml:space="preserve">Daarom evalueert </w:t>
      </w:r>
      <w:r w:rsidR="008B5260">
        <w:t>d</w:t>
      </w:r>
      <w:r w:rsidR="009D3776">
        <w:t xml:space="preserve">e Cronos </w:t>
      </w:r>
      <w:r w:rsidR="008B5260">
        <w:t>g</w:t>
      </w:r>
      <w:r w:rsidR="009D3776">
        <w:t xml:space="preserve">roep op een continue wijze de risico’s van de concurrentie en probeert zij hierop in te spelen. De </w:t>
      </w:r>
      <w:r w:rsidR="00E008EA">
        <w:t>i</w:t>
      </w:r>
      <w:r w:rsidR="009D3776">
        <w:t>nspanningen om competitief te blijven en het marktaandeel te behouden of te verhogen tegenover de concurrenten kunnen het nettoresultaat en de kasstroom uit bedrijfsactiviteiten beïnvloeden maar vormen geen garantie voor een toename van de omzet.</w:t>
      </w:r>
    </w:p>
    <w:p w14:paraId="408B1C9F" w14:textId="720D65FE" w:rsidR="009E2E98" w:rsidRDefault="009E2E98" w:rsidP="000D3E71">
      <w:r>
        <w:t>Door de nieuwe ontwikkelingen op vlak van artifici</w:t>
      </w:r>
      <w:r w:rsidR="00E63ECF">
        <w:t>ële</w:t>
      </w:r>
      <w:r>
        <w:t xml:space="preserve"> intelligen</w:t>
      </w:r>
      <w:r w:rsidR="00E63ECF">
        <w:t>tie</w:t>
      </w:r>
      <w:r>
        <w:t xml:space="preserve"> </w:t>
      </w:r>
      <w:r w:rsidR="00E63ECF">
        <w:t xml:space="preserve">bestaat de kans dat klanten minder van onze diensten zullen afnemen. Tegelijk biedt artificiële intelligentie ook nieuwe opportuniteiten voor onze bedrijven. De kans bestaat dat onze bedrijven er onvoldoende in slagen de omslag te maken naar deze nieuwe technologieën en daardoor marktaandeel overhouden. </w:t>
      </w:r>
    </w:p>
    <w:p w14:paraId="6ABD34D7" w14:textId="1F058460" w:rsidR="000D3E71" w:rsidRDefault="009D3776" w:rsidP="000D3E71">
      <w:r>
        <w:t xml:space="preserve">Het risico bestaat dat door een verminderde concurrentiële positie in de markt </w:t>
      </w:r>
      <w:r w:rsidR="008A6AD5">
        <w:t>d</w:t>
      </w:r>
      <w:r>
        <w:t xml:space="preserve">e Cronos </w:t>
      </w:r>
      <w:r w:rsidR="008A6AD5">
        <w:t>groe</w:t>
      </w:r>
      <w:r>
        <w:t xml:space="preserve">p niet meer in staat zal zijn om omzet </w:t>
      </w:r>
      <w:r w:rsidR="00E008EA">
        <w:t xml:space="preserve">en resultaat </w:t>
      </w:r>
      <w:r>
        <w:t xml:space="preserve">te </w:t>
      </w:r>
      <w:r w:rsidR="008B5260">
        <w:t>laten groeien</w:t>
      </w:r>
      <w:r>
        <w:t xml:space="preserve"> waardoor de waarde van de aandelen die door de </w:t>
      </w:r>
      <w:r w:rsidR="00856BB7">
        <w:t>Maatschap</w:t>
      </w:r>
      <w:r>
        <w:t xml:space="preserve"> worden aangehouden niet zal stijgen of zelfs zal dalen. </w:t>
      </w:r>
    </w:p>
    <w:p w14:paraId="1C771D03" w14:textId="77777777" w:rsidR="00D56F71" w:rsidRDefault="00D56F71" w:rsidP="000D3E71"/>
    <w:p w14:paraId="77A102DE" w14:textId="27D0D3FA" w:rsidR="009D3776" w:rsidRDefault="009D3776" w:rsidP="00257296">
      <w:pPr>
        <w:pStyle w:val="Style3"/>
      </w:pPr>
      <w:bookmarkStart w:id="7" w:name="_Toc1575367"/>
      <w:r>
        <w:t>Conjuncturele of economische risico’s</w:t>
      </w:r>
      <w:bookmarkEnd w:id="7"/>
      <w:r>
        <w:t xml:space="preserve"> </w:t>
      </w:r>
    </w:p>
    <w:p w14:paraId="158C3DF5" w14:textId="02EBEA30" w:rsidR="00321166" w:rsidRPr="005C12C1" w:rsidRDefault="00321166" w:rsidP="00321166">
      <w:pPr>
        <w:jc w:val="both"/>
      </w:pPr>
      <w:r w:rsidRPr="005C12C1">
        <w:t xml:space="preserve">De Cronos </w:t>
      </w:r>
      <w:r w:rsidR="008A6AD5">
        <w:t>g</w:t>
      </w:r>
      <w:r w:rsidRPr="005C12C1">
        <w:t>roep levert hoofdzakelijk diensten op consultancybasis. De IT</w:t>
      </w:r>
      <w:r w:rsidR="00B1463F">
        <w:t>-en</w:t>
      </w:r>
      <w:r w:rsidRPr="005C12C1">
        <w:t xml:space="preserve"> consultancy sector is een sector die gevoelig is voor conjuncturele schommelingen. Het huidig</w:t>
      </w:r>
      <w:r w:rsidR="00C72895">
        <w:t>e</w:t>
      </w:r>
      <w:r w:rsidRPr="005C12C1">
        <w:t xml:space="preserve"> en toekomstig economisch klimaat kan negatieve gevolgen hebben op de koopkracht van bedrijven, geplande uitgaven aan IT</w:t>
      </w:r>
      <w:r w:rsidR="00B1463F">
        <w:t>-en</w:t>
      </w:r>
      <w:r w:rsidRPr="005C12C1">
        <w:t xml:space="preserve"> consultancy opdrachten kunnen hierdoor afnemen wat een directe impact heeft op de gerealiseerde omzet en marges van de dochtervennootschappen van </w:t>
      </w:r>
      <w:r w:rsidR="008A6AD5">
        <w:t>d</w:t>
      </w:r>
      <w:r w:rsidRPr="005C12C1">
        <w:t xml:space="preserve">e Cronos </w:t>
      </w:r>
      <w:r w:rsidR="008A6AD5">
        <w:t>g</w:t>
      </w:r>
      <w:r w:rsidRPr="005C12C1">
        <w:t xml:space="preserve">roep. </w:t>
      </w:r>
      <w:r>
        <w:t>In het verleden</w:t>
      </w:r>
      <w:r w:rsidRPr="005C12C1">
        <w:t xml:space="preserve"> heeft </w:t>
      </w:r>
      <w:r w:rsidR="008A6AD5">
        <w:t>d</w:t>
      </w:r>
      <w:r>
        <w:t xml:space="preserve">e </w:t>
      </w:r>
      <w:r>
        <w:lastRenderedPageBreak/>
        <w:t xml:space="preserve">Cronos </w:t>
      </w:r>
      <w:r w:rsidR="008A6AD5">
        <w:t>g</w:t>
      </w:r>
      <w:r>
        <w:t xml:space="preserve">roep </w:t>
      </w:r>
      <w:r w:rsidRPr="005C12C1">
        <w:t>deze effecten steeds goed kunnen beperken door projecten met toegevoegde waarde te realiseren bij haar klanten.</w:t>
      </w:r>
    </w:p>
    <w:p w14:paraId="403194AE" w14:textId="16D90C46" w:rsidR="00321166" w:rsidRDefault="00321166" w:rsidP="00321166">
      <w:pPr>
        <w:jc w:val="both"/>
      </w:pPr>
      <w:r>
        <w:t xml:space="preserve">De Cronos </w:t>
      </w:r>
      <w:r w:rsidR="008A6AD5">
        <w:t>g</w:t>
      </w:r>
      <w:r>
        <w:t>roep levert hoofdzakelijk diensten, waarvoor ze rekent op prestaties van haar medewerkers. Door de aanhoudende inflatie w</w:t>
      </w:r>
      <w:r w:rsidR="00E5056F">
        <w:t>e</w:t>
      </w:r>
      <w:r>
        <w:t>rden de lonen sterk geïndexeerd. Dit heeft een negatieve invloed op de marges die</w:t>
      </w:r>
      <w:r w:rsidR="008A6AD5">
        <w:t xml:space="preserve"> d</w:t>
      </w:r>
      <w:r>
        <w:t xml:space="preserve">e Cronos </w:t>
      </w:r>
      <w:r w:rsidR="008A6AD5">
        <w:t>g</w:t>
      </w:r>
      <w:r>
        <w:t xml:space="preserve">roep en haar dochtervennootschappen op deze diensten kan realiseren. Tot hiertoe is ze er nog niet overal in geslaagd deze indexeringen volledig door te rekenen aan haar klanten.  </w:t>
      </w:r>
    </w:p>
    <w:p w14:paraId="0D444FAC" w14:textId="0A39B102" w:rsidR="00330883" w:rsidRDefault="00330883" w:rsidP="00321166">
      <w:pPr>
        <w:jc w:val="both"/>
      </w:pPr>
      <w:r>
        <w:t xml:space="preserve">In het huidige economische klimaat zouden de doorrekeningen van </w:t>
      </w:r>
      <w:r w:rsidR="00B1463F">
        <w:t>afgelopen</w:t>
      </w:r>
      <w:r>
        <w:t xml:space="preserve"> en </w:t>
      </w:r>
      <w:r w:rsidR="00B1463F">
        <w:t>mogelijk toekomstige</w:t>
      </w:r>
      <w:r>
        <w:t xml:space="preserve"> indexeringen mogelijk onder druk kunnen komen te staan. Verder zou ook de vraag naar diensten die door </w:t>
      </w:r>
      <w:r w:rsidR="008A6AD5">
        <w:t>d</w:t>
      </w:r>
      <w:r>
        <w:t xml:space="preserve">e Cronos </w:t>
      </w:r>
      <w:r w:rsidR="008A6AD5">
        <w:t>g</w:t>
      </w:r>
      <w:r>
        <w:t xml:space="preserve">roep en haar dochtervennootschappen geleverd worden kunnen terugvallen </w:t>
      </w:r>
      <w:r w:rsidR="00B1463F">
        <w:t>wat kan leiden tot een lagere</w:t>
      </w:r>
      <w:r>
        <w:t xml:space="preserve"> waardering van </w:t>
      </w:r>
      <w:r w:rsidR="00B1463F">
        <w:t>haar</w:t>
      </w:r>
      <w:r>
        <w:t xml:space="preserve"> </w:t>
      </w:r>
      <w:r w:rsidR="00B40D7F">
        <w:t>aandelen</w:t>
      </w:r>
      <w:r>
        <w:t xml:space="preserve">. </w:t>
      </w:r>
    </w:p>
    <w:p w14:paraId="4BA1BCB7" w14:textId="3AAC2EC7" w:rsidR="00321166" w:rsidRDefault="00321166" w:rsidP="00321166">
      <w:pPr>
        <w:pStyle w:val="Style3"/>
        <w:numPr>
          <w:ilvl w:val="0"/>
          <w:numId w:val="0"/>
        </w:numPr>
      </w:pPr>
      <w:r>
        <w:t xml:space="preserve">De Cronos </w:t>
      </w:r>
      <w:r w:rsidR="008A6AD5">
        <w:t>g</w:t>
      </w:r>
      <w:r>
        <w:t>roep</w:t>
      </w:r>
      <w:r w:rsidRPr="005C12C1">
        <w:t xml:space="preserve"> heeft </w:t>
      </w:r>
      <w:r w:rsidR="00651729">
        <w:t>verschillende</w:t>
      </w:r>
      <w:r w:rsidRPr="005C12C1">
        <w:t xml:space="preserve"> maatregelen</w:t>
      </w:r>
      <w:r w:rsidR="008A6AD5">
        <w:t xml:space="preserve"> genomen</w:t>
      </w:r>
      <w:r w:rsidRPr="005C12C1">
        <w:t xml:space="preserve"> om deze crisis het hoofd te bieden en beschikt over een goede uitgangspositie (een gezonde balans, voldoende reserves, steun van </w:t>
      </w:r>
      <w:r w:rsidR="00B1463F">
        <w:t>haar</w:t>
      </w:r>
      <w:r w:rsidRPr="005C12C1">
        <w:t xml:space="preserve"> banken, trouwe en innovatieve klanten, …) om de economisch mindere periode goed door te komen</w:t>
      </w:r>
      <w:r w:rsidR="00B1463F">
        <w:t>, ook</w:t>
      </w:r>
      <w:r w:rsidR="008B5260">
        <w:t xml:space="preserve"> </w:t>
      </w:r>
      <w:r w:rsidR="00B1463F">
        <w:t>al</w:t>
      </w:r>
      <w:r w:rsidR="008B5260">
        <w:t xml:space="preserve"> </w:t>
      </w:r>
      <w:r w:rsidR="00B1463F">
        <w:t>biedt</w:t>
      </w:r>
      <w:r w:rsidR="008B5260">
        <w:t xml:space="preserve"> </w:t>
      </w:r>
      <w:r w:rsidR="00B1463F">
        <w:t>dat</w:t>
      </w:r>
      <w:r w:rsidR="00651729">
        <w:t xml:space="preserve"> geen garantie</w:t>
      </w:r>
      <w:r w:rsidR="00B1463F">
        <w:t>s</w:t>
      </w:r>
      <w:r w:rsidR="008B5260">
        <w:t xml:space="preserve"> </w:t>
      </w:r>
      <w:r w:rsidR="00651729">
        <w:t>voor de toekomst</w:t>
      </w:r>
      <w:r w:rsidRPr="005C12C1">
        <w:t>.</w:t>
      </w:r>
    </w:p>
    <w:p w14:paraId="31F609D9" w14:textId="70A38AF2" w:rsidR="00321166" w:rsidRDefault="00321166" w:rsidP="00321166">
      <w:pPr>
        <w:pStyle w:val="Style3"/>
        <w:numPr>
          <w:ilvl w:val="0"/>
          <w:numId w:val="0"/>
        </w:numPr>
        <w:ind w:left="1800" w:hanging="720"/>
      </w:pPr>
    </w:p>
    <w:p w14:paraId="4D164752" w14:textId="77777777" w:rsidR="003D5D9E" w:rsidRDefault="003D5D9E" w:rsidP="00321166">
      <w:pPr>
        <w:pStyle w:val="Style3"/>
        <w:numPr>
          <w:ilvl w:val="0"/>
          <w:numId w:val="0"/>
        </w:numPr>
        <w:ind w:left="1800" w:hanging="720"/>
      </w:pPr>
    </w:p>
    <w:p w14:paraId="20C83C17" w14:textId="5500FFFC" w:rsidR="00E740B4" w:rsidRDefault="00BA1848" w:rsidP="00257296">
      <w:pPr>
        <w:pStyle w:val="Style3"/>
      </w:pPr>
      <w:bookmarkStart w:id="8" w:name="_Toc1575368"/>
      <w:r>
        <w:t>Personeel</w:t>
      </w:r>
      <w:r w:rsidR="00E740B4">
        <w:t xml:space="preserve"> –en bestuurdersrisico</w:t>
      </w:r>
      <w:bookmarkEnd w:id="8"/>
      <w:r w:rsidR="00E740B4">
        <w:t xml:space="preserve"> </w:t>
      </w:r>
    </w:p>
    <w:p w14:paraId="1DFA3E03" w14:textId="77D7B4C3" w:rsidR="00150C73" w:rsidRDefault="00150C73" w:rsidP="00150C73">
      <w:pPr>
        <w:jc w:val="both"/>
      </w:pPr>
      <w:r w:rsidRPr="005C12C1">
        <w:t xml:space="preserve">Tot op heden ondervinden de dochtervennootschappen van </w:t>
      </w:r>
      <w:r w:rsidR="008A6AD5">
        <w:t>d</w:t>
      </w:r>
      <w:r w:rsidR="00651729">
        <w:t xml:space="preserve">e Cronos </w:t>
      </w:r>
      <w:r w:rsidR="008A6AD5">
        <w:t>g</w:t>
      </w:r>
      <w:r w:rsidR="00651729">
        <w:t xml:space="preserve">roep </w:t>
      </w:r>
      <w:r w:rsidRPr="005C12C1">
        <w:t xml:space="preserve">geen nadeel van de heersende “War For Talent” die binnen de sector gevoerd wordt. </w:t>
      </w:r>
      <w:r>
        <w:t xml:space="preserve">In de afgelopen jaren kende de Cronos </w:t>
      </w:r>
      <w:r w:rsidR="008A6AD5">
        <w:t>g</w:t>
      </w:r>
      <w:r>
        <w:t xml:space="preserve">roep een netto jaarlijkse aangroei van +/- 1000 medewerkers per jaar. In het afgelopen jaar heeft </w:t>
      </w:r>
      <w:r w:rsidR="008A6AD5" w:rsidRPr="008A6AD5">
        <w:t xml:space="preserve">de Cronos groep </w:t>
      </w:r>
      <w:r>
        <w:t>er bewust voor gekozen om tijdelijk minder nieuwe medewerkers aan te werven. Hierbij</w:t>
      </w:r>
      <w:r w:rsidRPr="005C12C1">
        <w:t xml:space="preserve"> </w:t>
      </w:r>
      <w:r>
        <w:t>werden het afgelopen jaar nog steeds</w:t>
      </w:r>
      <w:r w:rsidRPr="005C12C1">
        <w:t xml:space="preserve"> </w:t>
      </w:r>
      <w:r w:rsidR="008A6AD5">
        <w:t xml:space="preserve">ongeveer </w:t>
      </w:r>
      <w:r>
        <w:t>3</w:t>
      </w:r>
      <w:r w:rsidRPr="005C12C1">
        <w:t xml:space="preserve">00 </w:t>
      </w:r>
      <w:r>
        <w:t xml:space="preserve">nieuwe </w:t>
      </w:r>
      <w:r w:rsidRPr="005C12C1">
        <w:t>medewerkers</w:t>
      </w:r>
      <w:r>
        <w:t xml:space="preserve"> aangetrokken</w:t>
      </w:r>
      <w:r w:rsidRPr="005C12C1">
        <w:t>.</w:t>
      </w:r>
      <w:r>
        <w:t xml:space="preserve"> </w:t>
      </w:r>
      <w:r w:rsidR="008A6AD5">
        <w:t>D</w:t>
      </w:r>
      <w:r>
        <w:t xml:space="preserve">e vooruitzichten </w:t>
      </w:r>
      <w:r w:rsidR="008A6AD5">
        <w:t xml:space="preserve">zijn </w:t>
      </w:r>
      <w:r>
        <w:t>dat we opnieuw kunnen evolueren naar een netto jaarlijkse aangroei rond de 1000 medewerkers.</w:t>
      </w:r>
      <w:r w:rsidRPr="005C12C1">
        <w:t xml:space="preserve"> </w:t>
      </w:r>
      <w:r>
        <w:t>Er zijn echter</w:t>
      </w:r>
      <w:r w:rsidRPr="005C12C1">
        <w:t xml:space="preserve"> geen garantie</w:t>
      </w:r>
      <w:r>
        <w:t>s</w:t>
      </w:r>
      <w:r w:rsidRPr="005C12C1">
        <w:t xml:space="preserve"> dat </w:t>
      </w:r>
      <w:r w:rsidR="008A6AD5">
        <w:t xml:space="preserve">de Cronos groep </w:t>
      </w:r>
      <w:r w:rsidRPr="005C12C1">
        <w:t xml:space="preserve">ook in de toekomst gemakkelijk medewerkers zal kunnen </w:t>
      </w:r>
      <w:r w:rsidR="005732AB">
        <w:t xml:space="preserve">blijven </w:t>
      </w:r>
      <w:r w:rsidRPr="005C12C1">
        <w:t xml:space="preserve">aantrekken. </w:t>
      </w:r>
    </w:p>
    <w:p w14:paraId="2429BC27" w14:textId="2827133D" w:rsidR="00150C73" w:rsidRPr="005C12C1" w:rsidRDefault="00150C73" w:rsidP="00150C73">
      <w:pPr>
        <w:jc w:val="both"/>
      </w:pPr>
      <w:r w:rsidRPr="005C12C1">
        <w:t xml:space="preserve">Met het oog op een duurzame verankering heeft </w:t>
      </w:r>
      <w:r w:rsidR="008A6AD5">
        <w:t xml:space="preserve">de Cronos groep </w:t>
      </w:r>
      <w:r w:rsidRPr="005C12C1">
        <w:t xml:space="preserve">de voorbije jaren haar structuur verder uitgebouwd. Dit heeft onder meer geleid tot het ontstaan van clusters (tussenholdings) met telkens één of meerdere sleutelfiguren (managing partners). Zij zijn verantwoordelijk voor de visie, strategie en verdere uitbouw van hun cluster en onderliggende operationele bedrijven.  </w:t>
      </w:r>
    </w:p>
    <w:p w14:paraId="7023ED72" w14:textId="191E08FE" w:rsidR="00150C73" w:rsidRPr="005C12C1" w:rsidRDefault="00150C73" w:rsidP="00150C73">
      <w:pPr>
        <w:jc w:val="both"/>
      </w:pPr>
      <w:r w:rsidRPr="005C12C1">
        <w:t xml:space="preserve">De sleutelfiguren van </w:t>
      </w:r>
      <w:r w:rsidR="008A6AD5">
        <w:t>de Cronos groep</w:t>
      </w:r>
      <w:r w:rsidRPr="005C12C1">
        <w:t xml:space="preserve"> zijn de heren Josephus De Wit en Dirk Deroost. Aangezien beiden behoren tot de uiteindelijke economische rechthebbenden van </w:t>
      </w:r>
      <w:r w:rsidR="00284966">
        <w:t>d</w:t>
      </w:r>
      <w:r w:rsidR="005732AB">
        <w:t>e Cronos Groep</w:t>
      </w:r>
      <w:r w:rsidR="008A6AD5">
        <w:t xml:space="preserve"> NV</w:t>
      </w:r>
      <w:r w:rsidRPr="005C12C1">
        <w:t xml:space="preserve">, is het risico op het beëindigen van hun werkzaamheid door de bestuurders </w:t>
      </w:r>
      <w:r w:rsidR="008A6AD5">
        <w:t>beperkt</w:t>
      </w:r>
      <w:r w:rsidRPr="005C12C1">
        <w:t xml:space="preserve">. </w:t>
      </w:r>
    </w:p>
    <w:p w14:paraId="2D5920FB" w14:textId="14AACDDA" w:rsidR="00150C73" w:rsidRDefault="00150C73" w:rsidP="00150C73">
      <w:pPr>
        <w:jc w:val="both"/>
      </w:pPr>
      <w:r w:rsidRPr="005C12C1">
        <w:t>De bestuurders zijn beide</w:t>
      </w:r>
      <w:r>
        <w:t>n</w:t>
      </w:r>
      <w:r w:rsidRPr="005C12C1">
        <w:t xml:space="preserve"> </w:t>
      </w:r>
      <w:r>
        <w:t>boven</w:t>
      </w:r>
      <w:r w:rsidRPr="005C12C1">
        <w:t xml:space="preserve"> de leeftijd van 60 jaar. </w:t>
      </w:r>
      <w:r>
        <w:t>Zij geven</w:t>
      </w:r>
      <w:r w:rsidRPr="005C12C1">
        <w:t xml:space="preserve"> aan om nog jaren verder te gaan met het besturen van de groep. </w:t>
      </w:r>
      <w:r>
        <w:t xml:space="preserve">Met het oog op een transitie van het operationele management van de groep hebben ze een nieuwe CEO en centraal managementteam aangesteld, die achter de schermen al geruime tijd aan het transitietraject hebben meegewerkt. Door het scheiden van de operationele taken van het centrale management en de strategische taken van een </w:t>
      </w:r>
      <w:r w:rsidR="008A6AD5">
        <w:t>r</w:t>
      </w:r>
      <w:r>
        <w:t xml:space="preserve">aad van </w:t>
      </w:r>
      <w:r w:rsidR="008A6AD5">
        <w:t>b</w:t>
      </w:r>
      <w:r>
        <w:t xml:space="preserve">estuur, verzekeren de bestuurders de continuïteit van de groep. Vanuit de </w:t>
      </w:r>
      <w:r w:rsidR="001871BD">
        <w:t xml:space="preserve">raad van bestuur </w:t>
      </w:r>
      <w:r>
        <w:t xml:space="preserve">kunnen de heren de Wit en Deroost nog jaren de huidige visie </w:t>
      </w:r>
      <w:r w:rsidR="001871BD">
        <w:t>en</w:t>
      </w:r>
      <w:r>
        <w:t xml:space="preserve"> strategie van de groep blijven verderzetten, terwijl ze nieuw talent de mogelijkheid geven om de operationele leiding over te nemen en het beleid van de groep op dezelfde manier te blijven verderzetten.</w:t>
      </w:r>
    </w:p>
    <w:p w14:paraId="2FD46961" w14:textId="2B77E1CC" w:rsidR="00EF5BEC" w:rsidRPr="005C12C1" w:rsidRDefault="00EF5BEC" w:rsidP="00150C73">
      <w:pPr>
        <w:jc w:val="both"/>
      </w:pPr>
    </w:p>
    <w:p w14:paraId="35F6153D" w14:textId="77777777" w:rsidR="005914E8" w:rsidRDefault="005914E8" w:rsidP="00E740B4"/>
    <w:p w14:paraId="6CAC3236" w14:textId="77777777" w:rsidR="005914E8" w:rsidRDefault="005914E8" w:rsidP="00E740B4"/>
    <w:p w14:paraId="550F4A74" w14:textId="77777777" w:rsidR="005914E8" w:rsidRDefault="005914E8" w:rsidP="00E740B4"/>
    <w:p w14:paraId="0FAE5646" w14:textId="250F3FCC" w:rsidR="00E740B4" w:rsidRDefault="009F1BC1" w:rsidP="00E740B4">
      <w:r>
        <w:t xml:space="preserve"> </w:t>
      </w:r>
      <w:r w:rsidR="00E740B4">
        <w:t xml:space="preserve"> </w:t>
      </w:r>
    </w:p>
    <w:p w14:paraId="2E3084C9" w14:textId="340BF96B" w:rsidR="005A08E0" w:rsidRDefault="005A08E0" w:rsidP="00257296">
      <w:pPr>
        <w:pStyle w:val="Style2"/>
      </w:pPr>
      <w:bookmarkStart w:id="9" w:name="_Toc1575369"/>
      <w:bookmarkStart w:id="10" w:name="_Toc1734417"/>
      <w:r w:rsidRPr="004E1FBE">
        <w:t>Risico</w:t>
      </w:r>
      <w:r w:rsidR="004E1FBE">
        <w:t>factoren</w:t>
      </w:r>
      <w:r w:rsidRPr="004E1FBE">
        <w:t xml:space="preserve"> eigen aan de </w:t>
      </w:r>
      <w:bookmarkEnd w:id="9"/>
      <w:bookmarkEnd w:id="10"/>
      <w:r w:rsidR="00B40D7F">
        <w:t>aandelen</w:t>
      </w:r>
      <w:r w:rsidR="00150C73" w:rsidRPr="004E1FBE">
        <w:t xml:space="preserve"> </w:t>
      </w:r>
    </w:p>
    <w:p w14:paraId="1662E631" w14:textId="77777777" w:rsidR="005A08E0" w:rsidRDefault="004E1FBE" w:rsidP="00257296">
      <w:pPr>
        <w:pStyle w:val="Style3"/>
      </w:pPr>
      <w:bookmarkStart w:id="11" w:name="_Toc1575370"/>
      <w:r>
        <w:t>Verhandelbaarheid, liquiditeits –en prijsvormingsrisico</w:t>
      </w:r>
      <w:bookmarkEnd w:id="11"/>
    </w:p>
    <w:p w14:paraId="6B25B11A" w14:textId="7E9E43A9" w:rsidR="004E1FBE" w:rsidRDefault="004E1FBE" w:rsidP="004E1FBE">
      <w:r>
        <w:t xml:space="preserve">De </w:t>
      </w:r>
      <w:r w:rsidR="00B40D7F">
        <w:t>aandelen</w:t>
      </w:r>
      <w:r w:rsidR="00150C73">
        <w:t xml:space="preserve"> </w:t>
      </w:r>
      <w:r>
        <w:t xml:space="preserve">zijn niet beursgenoteerd en er zal geen aanvraag worden ingediend tot verhandeling van de </w:t>
      </w:r>
      <w:r w:rsidR="00B40D7F">
        <w:t>aandelen</w:t>
      </w:r>
      <w:r w:rsidR="00150C73">
        <w:t xml:space="preserve"> </w:t>
      </w:r>
      <w:r>
        <w:t xml:space="preserve">op een gereglementeerde, georganiseerde of niet-georganiseerde markt. </w:t>
      </w:r>
    </w:p>
    <w:p w14:paraId="20082157" w14:textId="643EFCF1" w:rsidR="004E1FBE" w:rsidRPr="004E1FBE" w:rsidRDefault="004E1FBE" w:rsidP="004E1FBE">
      <w:pPr>
        <w:spacing w:line="300" w:lineRule="exact"/>
        <w:jc w:val="both"/>
      </w:pPr>
      <w:r>
        <w:t xml:space="preserve">Het is zeer onwaarschijnlijk dat er een actieve markt voor de </w:t>
      </w:r>
      <w:r w:rsidR="00B40D7F">
        <w:t>aandelen</w:t>
      </w:r>
      <w:r w:rsidR="00150C73">
        <w:t xml:space="preserve"> </w:t>
      </w:r>
      <w:r>
        <w:t xml:space="preserve">zal ontstaan. </w:t>
      </w:r>
      <w:r w:rsidRPr="004E1FBE">
        <w:t xml:space="preserve">De markt van de </w:t>
      </w:r>
      <w:r w:rsidR="00B40D7F">
        <w:t xml:space="preserve">aandelen </w:t>
      </w:r>
      <w:r w:rsidRPr="004E1FBE">
        <w:t xml:space="preserve">kan beperkt en weinig liquide zijn. De </w:t>
      </w:r>
      <w:r w:rsidR="00B40D7F">
        <w:t xml:space="preserve">aandelen </w:t>
      </w:r>
      <w:r w:rsidRPr="004E1FBE">
        <w:t xml:space="preserve">kunnen </w:t>
      </w:r>
      <w:r w:rsidR="001871BD">
        <w:t xml:space="preserve">na goedkeuring door de raad van bestuur </w:t>
      </w:r>
      <w:r w:rsidRPr="004E1FBE">
        <w:t xml:space="preserve">enkel worden overgedragen aan </w:t>
      </w:r>
      <w:r w:rsidR="00E46B50">
        <w:t>vennoten</w:t>
      </w:r>
      <w:r w:rsidR="00150C73" w:rsidRPr="004E1FBE">
        <w:t xml:space="preserve"> </w:t>
      </w:r>
      <w:r w:rsidRPr="004E1FBE">
        <w:t xml:space="preserve">van de </w:t>
      </w:r>
      <w:r w:rsidR="00150C73">
        <w:t>Maatschap</w:t>
      </w:r>
      <w:r w:rsidR="001871BD">
        <w:t xml:space="preserve">, </w:t>
      </w:r>
      <w:r w:rsidR="00453EE5">
        <w:t xml:space="preserve">aan </w:t>
      </w:r>
      <w:r w:rsidR="00284966">
        <w:t>d</w:t>
      </w:r>
      <w:r w:rsidR="00453EE5">
        <w:t>e Cronos Groep</w:t>
      </w:r>
      <w:r w:rsidR="001871BD">
        <w:t xml:space="preserve"> NV</w:t>
      </w:r>
      <w:r w:rsidR="00453EE5">
        <w:t xml:space="preserve"> en </w:t>
      </w:r>
      <w:r w:rsidR="001871BD">
        <w:t>met</w:t>
      </w:r>
      <w:r w:rsidR="00453EE5">
        <w:t xml:space="preserve"> </w:t>
      </w:r>
      <w:r w:rsidR="001871BD">
        <w:t xml:space="preserve">haar </w:t>
      </w:r>
      <w:r w:rsidR="00453EE5">
        <w:t xml:space="preserve">verbonden </w:t>
      </w:r>
      <w:r w:rsidR="001871BD">
        <w:t xml:space="preserve">ondernemingen alsook elke andere door de raad van bestuur aangewezen persoon </w:t>
      </w:r>
      <w:r w:rsidRPr="004E1FBE">
        <w:t xml:space="preserve">en </w:t>
      </w:r>
      <w:r w:rsidR="001871BD">
        <w:t xml:space="preserve">dit </w:t>
      </w:r>
      <w:r w:rsidRPr="004E1FBE">
        <w:t>mits inachtneming van</w:t>
      </w:r>
      <w:r w:rsidR="00BA050A">
        <w:t xml:space="preserve"> het marktreglement</w:t>
      </w:r>
      <w:r w:rsidR="00C10C24">
        <w:t xml:space="preserve"> </w:t>
      </w:r>
      <w:r w:rsidR="00BA050A">
        <w:t>en</w:t>
      </w:r>
      <w:r w:rsidRPr="004E1FBE">
        <w:t xml:space="preserve"> de toepasselijke gemeenrechtelijke regels en de regels van het W</w:t>
      </w:r>
      <w:r w:rsidR="0045119B">
        <w:t>etboek van vennootschappen en verenigingen (“WVV”)</w:t>
      </w:r>
      <w:r w:rsidRPr="004E1FBE">
        <w:t>. De koop/verkoopprijs</w:t>
      </w:r>
      <w:r w:rsidR="00985247">
        <w:t xml:space="preserve"> is rechtstreeks verbonden aan de waarde van de aandelen Empart II BV en</w:t>
      </w:r>
      <w:r w:rsidRPr="004E1FBE">
        <w:t xml:space="preserve"> wordt </w:t>
      </w:r>
      <w:r>
        <w:t>jaarlijks</w:t>
      </w:r>
      <w:r w:rsidRPr="004E1FBE">
        <w:t xml:space="preserve"> bepaald </w:t>
      </w:r>
      <w:r>
        <w:t xml:space="preserve">op de algemene vergadering van </w:t>
      </w:r>
      <w:r w:rsidR="00453EE5">
        <w:t>Empart II</w:t>
      </w:r>
      <w:r w:rsidR="00985247">
        <w:t xml:space="preserve"> BV.</w:t>
      </w:r>
      <w:r w:rsidRPr="004E1FBE">
        <w:t xml:space="preserve"> </w:t>
      </w:r>
      <w:r w:rsidR="0052311C">
        <w:t>D</w:t>
      </w:r>
      <w:r w:rsidRPr="004E1FBE">
        <w:t xml:space="preserve">eze prijs zal moeilijk kunnen bepaald worden aan de hand van enige marktprijs aangezien het zeer onwaarschijnlijk is dat er een actieve markt in de </w:t>
      </w:r>
      <w:r w:rsidR="0052311C">
        <w:t>aandelen</w:t>
      </w:r>
      <w:r w:rsidRPr="004E1FBE">
        <w:t xml:space="preserve"> zal ontstaan. De kans bestaat dat het onmogelijk zal zijn om de </w:t>
      </w:r>
      <w:r w:rsidR="00B40D7F">
        <w:t>aandelen</w:t>
      </w:r>
      <w:r w:rsidR="006C32ED" w:rsidRPr="004E1FBE">
        <w:t xml:space="preserve"> </w:t>
      </w:r>
      <w:r w:rsidRPr="004E1FBE">
        <w:t xml:space="preserve">te verkopen. </w:t>
      </w:r>
    </w:p>
    <w:p w14:paraId="72F3D9D9" w14:textId="000D1138" w:rsidR="004E1FBE" w:rsidRDefault="004E1FBE" w:rsidP="004E1FBE">
      <w:pPr>
        <w:spacing w:line="300" w:lineRule="exact"/>
        <w:jc w:val="both"/>
      </w:pPr>
      <w:r w:rsidRPr="004E1FBE">
        <w:t xml:space="preserve">De verkoop van </w:t>
      </w:r>
      <w:r w:rsidR="00B40D7F">
        <w:t xml:space="preserve">aandelen </w:t>
      </w:r>
      <w:r w:rsidRPr="004E1FBE">
        <w:t>kan leiden tot een min</w:t>
      </w:r>
      <w:r w:rsidR="001871BD">
        <w:t>der</w:t>
      </w:r>
      <w:r w:rsidRPr="004E1FBE">
        <w:t xml:space="preserve">waarde ten opzichte van de waarde van de </w:t>
      </w:r>
      <w:r w:rsidR="00B40D7F">
        <w:t>aandelen</w:t>
      </w:r>
      <w:r w:rsidR="0076313B">
        <w:t xml:space="preserve"> </w:t>
      </w:r>
      <w:r w:rsidR="0052311C">
        <w:t xml:space="preserve">op het moment van intekening op de </w:t>
      </w:r>
      <w:r w:rsidR="00B40D7F">
        <w:t>aandelen</w:t>
      </w:r>
      <w:r w:rsidR="001871BD">
        <w:t>,</w:t>
      </w:r>
      <w:r w:rsidR="00B40D7F">
        <w:t xml:space="preserve"> </w:t>
      </w:r>
      <w:r w:rsidR="001871BD">
        <w:t>omdat</w:t>
      </w:r>
      <w:r w:rsidRPr="004E1FBE">
        <w:t xml:space="preserve"> zij zullen moeten worden verkocht aan de op dat ogenblik geldende prijs. </w:t>
      </w:r>
      <w:r w:rsidRPr="00BC2C2F">
        <w:t>De</w:t>
      </w:r>
      <w:r w:rsidRPr="004E1FBE">
        <w:t xml:space="preserve"> </w:t>
      </w:r>
      <w:r w:rsidR="001871BD">
        <w:t xml:space="preserve">beperkte liquiditeit </w:t>
      </w:r>
      <w:r w:rsidRPr="004E1FBE">
        <w:t xml:space="preserve">kan een aanzienlijk negatief effect hebben op de marktwaarde van de </w:t>
      </w:r>
      <w:r w:rsidR="00B40D7F">
        <w:t>aandelen</w:t>
      </w:r>
      <w:r w:rsidRPr="004E1FBE">
        <w:t>. De prijs op het moment van overdracht kan lager zijn ten gevolge</w:t>
      </w:r>
      <w:r w:rsidR="0086722A">
        <w:t xml:space="preserve"> van</w:t>
      </w:r>
      <w:r w:rsidRPr="004E1FBE">
        <w:t xml:space="preserve"> externe marktinvloeden of ten gevolge van een wijziging in de situatie van de </w:t>
      </w:r>
      <w:r w:rsidR="008C1486">
        <w:t>Maatschap</w:t>
      </w:r>
      <w:r w:rsidRPr="004E1FBE">
        <w:t xml:space="preserve">. </w:t>
      </w:r>
    </w:p>
    <w:p w14:paraId="6ADD8A27" w14:textId="3D40069B" w:rsidR="0052311C" w:rsidRDefault="001871BD" w:rsidP="004E1FBE">
      <w:pPr>
        <w:spacing w:line="300" w:lineRule="exact"/>
        <w:jc w:val="both"/>
      </w:pPr>
      <w:r>
        <w:t>Jaarlijks</w:t>
      </w:r>
      <w:r w:rsidR="00153181">
        <w:t xml:space="preserve"> zal de algemene vergadering van </w:t>
      </w:r>
      <w:r w:rsidR="001E336E">
        <w:t>Empart II BV</w:t>
      </w:r>
      <w:r w:rsidR="00153181">
        <w:t xml:space="preserve"> </w:t>
      </w:r>
      <w:r>
        <w:t xml:space="preserve">op voorstel van </w:t>
      </w:r>
      <w:r w:rsidR="00684F7C">
        <w:t>de</w:t>
      </w:r>
      <w:r>
        <w:t xml:space="preserve"> raad van bestuur de waarde van </w:t>
      </w:r>
      <w:r w:rsidR="00684F7C">
        <w:t xml:space="preserve">haar </w:t>
      </w:r>
      <w:r>
        <w:t xml:space="preserve">aandelen evalueren en vastleggen, waarbij erover zal gewaakt worden dat die waardering marktconform gebeurt. </w:t>
      </w:r>
      <w:r w:rsidR="00684F7C">
        <w:t xml:space="preserve">Deze waardering bepaalt ook de waarde van de aandelen van de Maatschap. </w:t>
      </w:r>
    </w:p>
    <w:p w14:paraId="3AEAB4B7" w14:textId="77777777" w:rsidR="00D56F71" w:rsidRPr="004E1FBE" w:rsidRDefault="00D56F71" w:rsidP="004E1FBE">
      <w:pPr>
        <w:spacing w:line="300" w:lineRule="exact"/>
        <w:jc w:val="both"/>
      </w:pPr>
    </w:p>
    <w:p w14:paraId="5009DBB9" w14:textId="77777777" w:rsidR="004E1FBE" w:rsidRDefault="0052311C" w:rsidP="00257296">
      <w:pPr>
        <w:pStyle w:val="Style3"/>
      </w:pPr>
      <w:bookmarkStart w:id="12" w:name="_Toc1575371"/>
      <w:r>
        <w:t>Aard van het beleggin</w:t>
      </w:r>
      <w:r w:rsidR="00E44785">
        <w:t>g</w:t>
      </w:r>
      <w:r>
        <w:t>sinstrument</w:t>
      </w:r>
      <w:bookmarkEnd w:id="12"/>
      <w:r>
        <w:t xml:space="preserve"> </w:t>
      </w:r>
    </w:p>
    <w:p w14:paraId="173A44F4" w14:textId="24927830" w:rsidR="00D56F71" w:rsidRDefault="0052311C" w:rsidP="004E1FBE">
      <w:pPr>
        <w:spacing w:line="300" w:lineRule="exact"/>
        <w:jc w:val="both"/>
      </w:pPr>
      <w:r>
        <w:t xml:space="preserve">De aangeboden effecten zijn </w:t>
      </w:r>
      <w:r w:rsidR="00F2193F">
        <w:t xml:space="preserve">aandelen </w:t>
      </w:r>
      <w:r w:rsidR="00B00851">
        <w:t>van de Maatschap</w:t>
      </w:r>
      <w:r w:rsidR="00F2193F">
        <w:t xml:space="preserve"> </w:t>
      </w:r>
      <w:r>
        <w:t xml:space="preserve">en </w:t>
      </w:r>
      <w:r w:rsidR="00684F7C">
        <w:t>het bedrag</w:t>
      </w:r>
      <w:r>
        <w:t xml:space="preserve"> </w:t>
      </w:r>
      <w:r w:rsidR="00B00851">
        <w:t xml:space="preserve">dat de vennoten investeren </w:t>
      </w:r>
      <w:r>
        <w:t xml:space="preserve">wordt toegevoegd aan het eigen vermogen van de </w:t>
      </w:r>
      <w:r w:rsidR="001E336E">
        <w:t>Maatschap</w:t>
      </w:r>
      <w:r w:rsidR="00230C81">
        <w:t xml:space="preserve"> of er worden bestaande maatschapsaandelen mee gekocht</w:t>
      </w:r>
      <w:r>
        <w:t xml:space="preserve">. </w:t>
      </w:r>
      <w:r w:rsidR="004F6CB1">
        <w:t xml:space="preserve">Een </w:t>
      </w:r>
      <w:r w:rsidR="00F2193F">
        <w:t>vennoot</w:t>
      </w:r>
      <w:r w:rsidR="001E336E">
        <w:t xml:space="preserve"> </w:t>
      </w:r>
      <w:r w:rsidR="004F6CB1">
        <w:t xml:space="preserve">heeft bij </w:t>
      </w:r>
      <w:r w:rsidR="00684F7C">
        <w:t>de overdracht van diens aandelen</w:t>
      </w:r>
      <w:r w:rsidR="004F6CB1">
        <w:t xml:space="preserve"> recht op maximaal de waarde van de </w:t>
      </w:r>
      <w:r w:rsidR="00EE328D">
        <w:t>aandelen</w:t>
      </w:r>
      <w:r w:rsidR="004F6CB1">
        <w:t xml:space="preserve"> </w:t>
      </w:r>
      <w:r w:rsidR="00684F7C">
        <w:t xml:space="preserve">van de Maatschap die gebaseerd is op de waarde van Empart II BV-aandelen </w:t>
      </w:r>
      <w:r w:rsidR="004F6CB1">
        <w:t xml:space="preserve">zoals die op </w:t>
      </w:r>
      <w:r w:rsidR="00684F7C">
        <w:t>haar</w:t>
      </w:r>
      <w:r w:rsidR="004F6CB1">
        <w:t xml:space="preserve"> laatste algemene vergadering werd vastgesteld. </w:t>
      </w:r>
      <w:r w:rsidR="00084445">
        <w:t xml:space="preserve">Het rendement van de </w:t>
      </w:r>
      <w:r w:rsidR="00FB447A">
        <w:t>aandelen</w:t>
      </w:r>
      <w:r w:rsidR="00084445">
        <w:t xml:space="preserve"> zal voornamelijk gebaseerd zijn op de eventuele meerwaarde die bij latere verkoop van de </w:t>
      </w:r>
      <w:r w:rsidR="00FB447A">
        <w:t>aandelen</w:t>
      </w:r>
      <w:r w:rsidR="00084445">
        <w:t xml:space="preserve"> kan gerealiseerd worden.</w:t>
      </w:r>
    </w:p>
    <w:p w14:paraId="253F353B" w14:textId="632ED8A6" w:rsidR="00084445" w:rsidRDefault="00084445" w:rsidP="004E1FBE">
      <w:pPr>
        <w:spacing w:line="300" w:lineRule="exact"/>
        <w:jc w:val="both"/>
      </w:pPr>
      <w:r>
        <w:t xml:space="preserve"> </w:t>
      </w:r>
    </w:p>
    <w:p w14:paraId="05934E98" w14:textId="77777777" w:rsidR="00992702" w:rsidRDefault="00992702" w:rsidP="004E1FBE">
      <w:pPr>
        <w:spacing w:line="300" w:lineRule="exact"/>
        <w:jc w:val="both"/>
      </w:pPr>
    </w:p>
    <w:p w14:paraId="1002FBB7" w14:textId="77777777" w:rsidR="00992702" w:rsidRDefault="00992702" w:rsidP="004E1FBE">
      <w:pPr>
        <w:spacing w:line="300" w:lineRule="exact"/>
        <w:jc w:val="both"/>
      </w:pPr>
    </w:p>
    <w:p w14:paraId="04E9D6ED" w14:textId="77777777" w:rsidR="00726DA2" w:rsidRDefault="00153181" w:rsidP="00257296">
      <w:pPr>
        <w:pStyle w:val="Style3"/>
      </w:pPr>
      <w:bookmarkStart w:id="13" w:name="_Toc1575372"/>
      <w:r>
        <w:t>Geen dividendpolitiek</w:t>
      </w:r>
      <w:bookmarkEnd w:id="13"/>
      <w:r>
        <w:t xml:space="preserve"> </w:t>
      </w:r>
    </w:p>
    <w:p w14:paraId="19E7084F" w14:textId="481DA3F5" w:rsidR="00153181" w:rsidRDefault="00153181" w:rsidP="00153181">
      <w:pPr>
        <w:spacing w:line="300" w:lineRule="exact"/>
        <w:jc w:val="both"/>
      </w:pPr>
      <w:r>
        <w:t xml:space="preserve">De </w:t>
      </w:r>
      <w:r w:rsidR="00101585">
        <w:t>Maat</w:t>
      </w:r>
      <w:r>
        <w:t xml:space="preserve">schap hanteert geen actieve dividendpolitiek. In het verleden heeft de </w:t>
      </w:r>
      <w:r w:rsidR="00101585">
        <w:t xml:space="preserve">Maatschap </w:t>
      </w:r>
      <w:r>
        <w:t xml:space="preserve">nog geen enkele keer dividenden uitgekeerd aan de </w:t>
      </w:r>
      <w:r w:rsidR="00E46B50">
        <w:t>vennoten</w:t>
      </w:r>
      <w:r>
        <w:t xml:space="preserve">. Er zijn ook geen plannen om dit in de toekomst wél te doen. </w:t>
      </w:r>
    </w:p>
    <w:p w14:paraId="58A26636" w14:textId="77777777" w:rsidR="00D56F71" w:rsidRDefault="00D56F71" w:rsidP="00153181">
      <w:pPr>
        <w:spacing w:line="300" w:lineRule="exact"/>
        <w:jc w:val="both"/>
      </w:pPr>
    </w:p>
    <w:p w14:paraId="0361A942" w14:textId="77777777" w:rsidR="00C10C24" w:rsidRDefault="00C10C24" w:rsidP="00153181">
      <w:pPr>
        <w:spacing w:line="300" w:lineRule="exact"/>
        <w:jc w:val="both"/>
      </w:pPr>
    </w:p>
    <w:p w14:paraId="4F3679BE" w14:textId="77777777" w:rsidR="00153181" w:rsidRDefault="00153181" w:rsidP="00257296">
      <w:pPr>
        <w:pStyle w:val="Style3"/>
      </w:pPr>
      <w:bookmarkStart w:id="14" w:name="_Toc1575373"/>
      <w:r>
        <w:t>Rendementsrisico</w:t>
      </w:r>
      <w:bookmarkEnd w:id="14"/>
    </w:p>
    <w:p w14:paraId="77E94CF4" w14:textId="1412623D" w:rsidR="00153181" w:rsidRDefault="00153181" w:rsidP="00153181">
      <w:pPr>
        <w:spacing w:line="300" w:lineRule="exact"/>
        <w:jc w:val="both"/>
      </w:pPr>
      <w:r>
        <w:t xml:space="preserve">Het is onwaarschijnlijk dat de </w:t>
      </w:r>
      <w:r w:rsidR="00E46B50">
        <w:t>vennoten</w:t>
      </w:r>
      <w:r w:rsidR="009D3411">
        <w:t xml:space="preserve"> </w:t>
      </w:r>
      <w:r>
        <w:t xml:space="preserve">rendement kunnen halen op hun investering door het ontvangen van dividenden. Het rendement dat op deze belegging kan behaald worden bestaat enkel uit de mogelijke meerwaarde die op de verkoop van de </w:t>
      </w:r>
      <w:r w:rsidR="00FB447A">
        <w:t>aandelen</w:t>
      </w:r>
      <w:r w:rsidR="009D3411">
        <w:t xml:space="preserve"> </w:t>
      </w:r>
      <w:r>
        <w:t>kan behaald worden. Het risico bestaat dat dit rendement onvoldoende het risico van de investering zal dekken en dat er andere beleggingsinstrumenten in de markt bestaan die het risico van de investering beter dekken.</w:t>
      </w:r>
    </w:p>
    <w:p w14:paraId="703A2824" w14:textId="77777777" w:rsidR="00610CDB" w:rsidRDefault="00610CDB" w:rsidP="00153181">
      <w:pPr>
        <w:spacing w:line="300" w:lineRule="exact"/>
        <w:jc w:val="both"/>
      </w:pPr>
    </w:p>
    <w:p w14:paraId="2317EE26" w14:textId="3C6CCB8F" w:rsidR="00084445" w:rsidRPr="00193192" w:rsidRDefault="00084445" w:rsidP="00257296">
      <w:pPr>
        <w:pStyle w:val="Style1"/>
      </w:pPr>
      <w:bookmarkStart w:id="15" w:name="_Toc1575375"/>
      <w:bookmarkStart w:id="16" w:name="_Toc1734418"/>
      <w:r w:rsidRPr="00193192">
        <w:t xml:space="preserve">Informatie over de </w:t>
      </w:r>
      <w:bookmarkEnd w:id="15"/>
      <w:bookmarkEnd w:id="16"/>
      <w:r w:rsidR="00856BB7">
        <w:t>Maatschap</w:t>
      </w:r>
    </w:p>
    <w:p w14:paraId="6817EE63" w14:textId="77777777" w:rsidR="00084445" w:rsidRPr="00193192" w:rsidRDefault="008118D8" w:rsidP="00257296">
      <w:pPr>
        <w:pStyle w:val="Style2"/>
      </w:pPr>
      <w:bookmarkStart w:id="17" w:name="_Toc1575376"/>
      <w:bookmarkStart w:id="18" w:name="_Toc1734419"/>
      <w:r w:rsidRPr="00193192">
        <w:t>Identiteit van de uitgevende instelling</w:t>
      </w:r>
      <w:bookmarkEnd w:id="17"/>
      <w:bookmarkEnd w:id="18"/>
      <w:r w:rsidRPr="00193192">
        <w:t xml:space="preserve"> </w:t>
      </w:r>
    </w:p>
    <w:p w14:paraId="792129D9" w14:textId="77777777" w:rsidR="00E81760" w:rsidRDefault="00E81760" w:rsidP="00257296">
      <w:pPr>
        <w:pStyle w:val="Style3"/>
      </w:pPr>
      <w:bookmarkStart w:id="19" w:name="_Toc1575377"/>
      <w:r>
        <w:t>Uitgevende instelling</w:t>
      </w:r>
      <w:bookmarkEnd w:id="19"/>
      <w:r>
        <w:t xml:space="preserve"> </w:t>
      </w:r>
    </w:p>
    <w:p w14:paraId="084F5A87" w14:textId="4C574290" w:rsidR="00E81760" w:rsidRDefault="00E81760" w:rsidP="00E81760">
      <w:r w:rsidRPr="00E81760">
        <w:rPr>
          <w:b/>
        </w:rPr>
        <w:t xml:space="preserve">Naam: </w:t>
      </w:r>
      <w:r>
        <w:rPr>
          <w:b/>
        </w:rPr>
        <w:tab/>
      </w:r>
      <w:r>
        <w:rPr>
          <w:b/>
        </w:rPr>
        <w:tab/>
      </w:r>
      <w:r>
        <w:rPr>
          <w:b/>
        </w:rPr>
        <w:tab/>
      </w:r>
      <w:r>
        <w:rPr>
          <w:b/>
        </w:rPr>
        <w:tab/>
      </w:r>
      <w:r w:rsidRPr="00E81760">
        <w:t>Emp</w:t>
      </w:r>
      <w:r w:rsidR="008A3FBE">
        <w:t xml:space="preserve">art II </w:t>
      </w:r>
    </w:p>
    <w:p w14:paraId="6750A7B6" w14:textId="2A2EC122" w:rsidR="00E81760" w:rsidRDefault="00E81760" w:rsidP="00E81760">
      <w:r w:rsidRPr="00E81760">
        <w:rPr>
          <w:b/>
        </w:rPr>
        <w:t xml:space="preserve">Rechtsvorm: </w:t>
      </w:r>
      <w:r>
        <w:tab/>
      </w:r>
      <w:r>
        <w:tab/>
      </w:r>
      <w:r>
        <w:tab/>
      </w:r>
      <w:r w:rsidR="008A3FBE">
        <w:t>Maatschap</w:t>
      </w:r>
      <w:r>
        <w:t xml:space="preserve"> </w:t>
      </w:r>
    </w:p>
    <w:p w14:paraId="1C3ED393" w14:textId="4497CC41" w:rsidR="00E81760" w:rsidRDefault="00E81760" w:rsidP="00E81760">
      <w:r w:rsidRPr="00E81760">
        <w:rPr>
          <w:b/>
        </w:rPr>
        <w:t>Maatschappelijke zetel:</w:t>
      </w:r>
      <w:r>
        <w:t xml:space="preserve"> </w:t>
      </w:r>
      <w:r>
        <w:tab/>
        <w:t xml:space="preserve">Veldkant </w:t>
      </w:r>
      <w:r w:rsidR="008A3FBE">
        <w:t>33A</w:t>
      </w:r>
      <w:r>
        <w:t xml:space="preserve">, 2550 Kontich </w:t>
      </w:r>
    </w:p>
    <w:p w14:paraId="31477BCE" w14:textId="0281E7D0" w:rsidR="00E81760" w:rsidRDefault="00E81760" w:rsidP="00E81760">
      <w:r w:rsidRPr="00E81760">
        <w:rPr>
          <w:b/>
        </w:rPr>
        <w:t xml:space="preserve">Ondernemingsnummer: </w:t>
      </w:r>
      <w:r>
        <w:tab/>
      </w:r>
      <w:r w:rsidR="00385654" w:rsidRPr="00385654">
        <w:t>1008</w:t>
      </w:r>
      <w:r w:rsidR="00385654">
        <w:t>.</w:t>
      </w:r>
      <w:r w:rsidR="00385654" w:rsidRPr="00385654">
        <w:t>883</w:t>
      </w:r>
      <w:r w:rsidR="00385654">
        <w:t>.</w:t>
      </w:r>
      <w:r w:rsidR="00385654" w:rsidRPr="00385654">
        <w:t>241</w:t>
      </w:r>
    </w:p>
    <w:p w14:paraId="1E6559AA" w14:textId="77777777" w:rsidR="00E81760" w:rsidRPr="00E81760" w:rsidRDefault="00E81760" w:rsidP="00E81760">
      <w:pPr>
        <w:rPr>
          <w:b/>
        </w:rPr>
      </w:pPr>
      <w:r w:rsidRPr="00E81760">
        <w:rPr>
          <w:b/>
        </w:rPr>
        <w:t>Land van herkomst:</w:t>
      </w:r>
      <w:r w:rsidRPr="00E81760">
        <w:rPr>
          <w:b/>
        </w:rPr>
        <w:tab/>
      </w:r>
      <w:r>
        <w:tab/>
        <w:t xml:space="preserve">België </w:t>
      </w:r>
    </w:p>
    <w:p w14:paraId="312DA1B4" w14:textId="77777777" w:rsidR="00317D30" w:rsidRDefault="00317D30" w:rsidP="00317D30"/>
    <w:p w14:paraId="3EA15327" w14:textId="77777777" w:rsidR="00317D30" w:rsidRDefault="00317D30" w:rsidP="00257296">
      <w:pPr>
        <w:pStyle w:val="Style3"/>
      </w:pPr>
      <w:bookmarkStart w:id="20" w:name="_Toc1575378"/>
      <w:r>
        <w:t>Activiteiten van de uitgevende instelling</w:t>
      </w:r>
      <w:bookmarkEnd w:id="20"/>
      <w:r>
        <w:t xml:space="preserve"> </w:t>
      </w:r>
    </w:p>
    <w:p w14:paraId="4DFFD410" w14:textId="05D42225" w:rsidR="004D2A62" w:rsidRDefault="00317D30" w:rsidP="00317D30">
      <w:r>
        <w:t xml:space="preserve">De </w:t>
      </w:r>
      <w:r w:rsidR="008A3FBE">
        <w:t>Maa</w:t>
      </w:r>
      <w:r w:rsidR="0090616C">
        <w:t>t</w:t>
      </w:r>
      <w:r w:rsidR="008A3FBE">
        <w:t xml:space="preserve">schap </w:t>
      </w:r>
      <w:r>
        <w:t xml:space="preserve">is opgericht met het doel om de werknemers en medewerkers van </w:t>
      </w:r>
      <w:r w:rsidR="00284966">
        <w:t>d</w:t>
      </w:r>
      <w:r>
        <w:t xml:space="preserve">e </w:t>
      </w:r>
      <w:r w:rsidR="00E44785">
        <w:t xml:space="preserve">Cronos </w:t>
      </w:r>
      <w:r w:rsidR="00284966">
        <w:t>g</w:t>
      </w:r>
      <w:r w:rsidR="00E44785">
        <w:t>roep NV</w:t>
      </w:r>
      <w:r>
        <w:t xml:space="preserve"> de kans te bieden om, middels participatie in een stukje van het kapitaal van </w:t>
      </w:r>
      <w:r w:rsidR="00284966">
        <w:t>d</w:t>
      </w:r>
      <w:r>
        <w:t xml:space="preserve">e Cronos </w:t>
      </w:r>
      <w:r w:rsidR="00284966">
        <w:t>g</w:t>
      </w:r>
      <w:r>
        <w:t xml:space="preserve">roep, te delen in het groeiende verhaal van de IT-groep waarvan zij deel uitmaken. </w:t>
      </w:r>
      <w:r w:rsidR="004D2A62">
        <w:t xml:space="preserve">Het kapitaal dat de </w:t>
      </w:r>
      <w:r w:rsidR="0088109F">
        <w:t xml:space="preserve">Maatschap </w:t>
      </w:r>
      <w:r w:rsidR="004D2A62">
        <w:t>ophaalt wordt gebruikt om rechtstreeks te investeren in aandelen in het kapitaal van</w:t>
      </w:r>
      <w:r w:rsidR="0088109F">
        <w:t xml:space="preserve"> Empart II BV</w:t>
      </w:r>
      <w:r w:rsidR="00230C81">
        <w:t xml:space="preserve">, </w:t>
      </w:r>
      <w:r w:rsidR="0090616C">
        <w:t xml:space="preserve">Empart BV en </w:t>
      </w:r>
      <w:r w:rsidR="00284966">
        <w:t>d</w:t>
      </w:r>
      <w:r w:rsidR="004D2A62">
        <w:t xml:space="preserve">e </w:t>
      </w:r>
      <w:r w:rsidR="00E44785">
        <w:t xml:space="preserve">Cronos </w:t>
      </w:r>
      <w:r w:rsidR="00284966">
        <w:t>g</w:t>
      </w:r>
      <w:r w:rsidR="00E44785">
        <w:t>roep</w:t>
      </w:r>
      <w:r w:rsidR="004D2A62">
        <w:t xml:space="preserve">, die hiermee de verdere groei van de groep beoogt. </w:t>
      </w:r>
    </w:p>
    <w:p w14:paraId="4D69BA45" w14:textId="77777777" w:rsidR="00D56F71" w:rsidRDefault="00D56F71" w:rsidP="00317D30"/>
    <w:p w14:paraId="6A773BEF" w14:textId="25BB20D2" w:rsidR="00E81760" w:rsidRDefault="00E3656F" w:rsidP="00257296">
      <w:pPr>
        <w:pStyle w:val="Style3"/>
      </w:pPr>
      <w:bookmarkStart w:id="21" w:name="_Toc1575379"/>
      <w:r>
        <w:t xml:space="preserve">Belangrijkste aandeelhouders van </w:t>
      </w:r>
      <w:bookmarkEnd w:id="21"/>
      <w:r w:rsidR="00F25766">
        <w:t>de Maatschap</w:t>
      </w:r>
    </w:p>
    <w:p w14:paraId="7B431CA8" w14:textId="47599FF3" w:rsidR="00E3656F" w:rsidRDefault="00E3656F" w:rsidP="00E3656F">
      <w:r>
        <w:t xml:space="preserve">Alle aandeelhouders van de </w:t>
      </w:r>
      <w:r w:rsidR="00856BB7">
        <w:t>Maatschap</w:t>
      </w:r>
      <w:r>
        <w:t xml:space="preserve"> zijn werknemers, medewerkers of partners van </w:t>
      </w:r>
      <w:r w:rsidR="00684F7C">
        <w:t>d</w:t>
      </w:r>
      <w:r>
        <w:t xml:space="preserve">e </w:t>
      </w:r>
      <w:r w:rsidR="00E44785">
        <w:t xml:space="preserve">Cronos </w:t>
      </w:r>
      <w:r w:rsidR="00684F7C">
        <w:t>g</w:t>
      </w:r>
      <w:r w:rsidR="00E44785">
        <w:t>roep</w:t>
      </w:r>
      <w:r>
        <w:t xml:space="preserve">. </w:t>
      </w:r>
      <w:r w:rsidR="00B13819">
        <w:t xml:space="preserve">Het opzet van de Maatschap is dat zij vanaf haar eerste kapitaalronde geen aandeelhouders zal hebben die over </w:t>
      </w:r>
      <w:r w:rsidR="008062F1">
        <w:t>meer dan 5% van de aandelen</w:t>
      </w:r>
      <w:r w:rsidR="00B13819">
        <w:t xml:space="preserve"> beschikken</w:t>
      </w:r>
      <w:r w:rsidR="008062F1">
        <w:t>.</w:t>
      </w:r>
      <w:r>
        <w:t xml:space="preserve"> </w:t>
      </w:r>
      <w:r w:rsidR="00B13819">
        <w:t>Door het invoeren van een maximaal intekenbedrag, zal geen aandeelhouder een bovengemiddeld belang in de Maatschap kunnen nemen.</w:t>
      </w:r>
    </w:p>
    <w:p w14:paraId="5F284190" w14:textId="77777777" w:rsidR="00D56F71" w:rsidRDefault="00D56F71" w:rsidP="00E3656F"/>
    <w:p w14:paraId="58AF5B41" w14:textId="51D3AC85" w:rsidR="00AD121E" w:rsidRDefault="00AD121E" w:rsidP="00257296">
      <w:pPr>
        <w:pStyle w:val="Style3"/>
      </w:pPr>
      <w:bookmarkStart w:id="22" w:name="_Toc1575380"/>
      <w:r>
        <w:t xml:space="preserve">Transacties tussen </w:t>
      </w:r>
      <w:r w:rsidR="00F25766">
        <w:t>de Maatschap</w:t>
      </w:r>
      <w:r>
        <w:t xml:space="preserve"> en haar belangrijkste aandeelhouders of andere </w:t>
      </w:r>
      <w:r w:rsidR="00E44785">
        <w:t xml:space="preserve">verbonden </w:t>
      </w:r>
      <w:r>
        <w:t>partijen</w:t>
      </w:r>
      <w:bookmarkEnd w:id="22"/>
      <w:r>
        <w:t xml:space="preserve"> </w:t>
      </w:r>
    </w:p>
    <w:p w14:paraId="5A4CC120" w14:textId="287DB67A" w:rsidR="00AD121E" w:rsidRDefault="00AD121E" w:rsidP="00AD121E">
      <w:r>
        <w:t xml:space="preserve">Op het moment van de uitgifte is er geen sprake van belangrijke transacties tussen de </w:t>
      </w:r>
      <w:r w:rsidR="00F25766">
        <w:t xml:space="preserve">Maatschap </w:t>
      </w:r>
      <w:r>
        <w:t xml:space="preserve">en haar aandeelhouders. </w:t>
      </w:r>
      <w:r w:rsidR="00B13819">
        <w:t>Wel zullen</w:t>
      </w:r>
      <w:r>
        <w:t xml:space="preserve"> transacties tussen de aandeelhouders </w:t>
      </w:r>
      <w:r w:rsidR="00B13819">
        <w:t xml:space="preserve">na verloop van tijd plaatsvinden </w:t>
      </w:r>
      <w:r>
        <w:t xml:space="preserve">die kaderen in de aan –en verkoop van bestaande aandelen in de </w:t>
      </w:r>
      <w:r w:rsidR="00F25766">
        <w:t>Maatschap</w:t>
      </w:r>
      <w:r>
        <w:t xml:space="preserve">. </w:t>
      </w:r>
    </w:p>
    <w:p w14:paraId="08919475" w14:textId="3F732E7A" w:rsidR="005A18C0" w:rsidRDefault="00AD121E" w:rsidP="00AD121E">
      <w:r>
        <w:t xml:space="preserve">Met het kapitaal dat de </w:t>
      </w:r>
      <w:r w:rsidR="00856BB7">
        <w:t>Maatschap</w:t>
      </w:r>
      <w:r>
        <w:t xml:space="preserve"> met deze uitgifte wil ophalen plant </w:t>
      </w:r>
      <w:r w:rsidR="00E44785">
        <w:t xml:space="preserve">de </w:t>
      </w:r>
      <w:r w:rsidR="001A3D1A">
        <w:t xml:space="preserve">Maatschap </w:t>
      </w:r>
      <w:r w:rsidR="00230C81">
        <w:t>aandelen te verwerven in Empart II BV, die op hun beurt aandelen in</w:t>
      </w:r>
      <w:r w:rsidR="00E63ECF">
        <w:t xml:space="preserve"> Empart BV of</w:t>
      </w:r>
      <w:r w:rsidR="00230C81">
        <w:t xml:space="preserve"> De Cronos Groep NV aanhouden.</w:t>
      </w:r>
    </w:p>
    <w:p w14:paraId="500C5EC3" w14:textId="08F8B695" w:rsidR="00AD121E" w:rsidRDefault="00901CA1" w:rsidP="00257296">
      <w:pPr>
        <w:pStyle w:val="Style3"/>
      </w:pPr>
      <w:bookmarkStart w:id="23" w:name="_Toc1575381"/>
      <w:r>
        <w:t xml:space="preserve">Identiteit van de leden van de raad van bestuur van </w:t>
      </w:r>
      <w:bookmarkEnd w:id="23"/>
      <w:r w:rsidR="005A18C0">
        <w:t>de Maatschap</w:t>
      </w:r>
    </w:p>
    <w:p w14:paraId="70AA53C8" w14:textId="2446CE5C" w:rsidR="004D2AF7" w:rsidRDefault="00901CA1" w:rsidP="00385654">
      <w:r>
        <w:t xml:space="preserve">De </w:t>
      </w:r>
      <w:r w:rsidR="00CF68AD">
        <w:t xml:space="preserve">Maatschap </w:t>
      </w:r>
      <w:r>
        <w:t>wordt bestuurd door een raad van bestuur</w:t>
      </w:r>
      <w:r w:rsidR="004C7484">
        <w:t xml:space="preserve">, </w:t>
      </w:r>
      <w:r w:rsidR="00385654">
        <w:t>momenteel is hier 1 bestuurder aangesteld:</w:t>
      </w:r>
      <w:r w:rsidR="004C7484">
        <w:t xml:space="preserve"> </w:t>
      </w:r>
      <w:r w:rsidR="00385654">
        <w:t>M-Partner NV, vast vertegenwoordigd door Thomas Smets.</w:t>
      </w:r>
    </w:p>
    <w:p w14:paraId="2D8B8304" w14:textId="24894A5A" w:rsidR="00056CD6" w:rsidRPr="00582F83" w:rsidRDefault="00056CD6" w:rsidP="004D2AF7">
      <w:r w:rsidRPr="00582F83">
        <w:t xml:space="preserve">De bestuurders worden benoemd uit kandidaten voorgedragen door Empart II BV. </w:t>
      </w:r>
    </w:p>
    <w:p w14:paraId="0FAE0020" w14:textId="065D7E4D" w:rsidR="004D2AF7" w:rsidRDefault="004D2AF7" w:rsidP="004D2AF7">
      <w:r w:rsidRPr="00582F83">
        <w:t xml:space="preserve">De raad van bestuur bezit de meest uitgebreide machten van bestuur en beschikking, binnen het kader van het maatschappelijk doel van de </w:t>
      </w:r>
      <w:r w:rsidR="00856BB7" w:rsidRPr="00582F83">
        <w:t>Maatschap</w:t>
      </w:r>
      <w:r w:rsidRPr="00582F83">
        <w:t>.</w:t>
      </w:r>
      <w:r>
        <w:t xml:space="preserve"> </w:t>
      </w:r>
    </w:p>
    <w:p w14:paraId="5BBDA37E" w14:textId="2A2289D7" w:rsidR="00FD2892" w:rsidRDefault="00EC0E82" w:rsidP="0003733F">
      <w:r>
        <w:t>De Maatschap heeft het recht om 1</w:t>
      </w:r>
      <w:r w:rsidR="00A30642">
        <w:t xml:space="preserve"> kandidaat voor te stellen en te laten benoemen als</w:t>
      </w:r>
      <w:r>
        <w:t xml:space="preserve"> bestuurder van Empart II BV</w:t>
      </w:r>
      <w:r w:rsidR="00A30642">
        <w:t>. De</w:t>
      </w:r>
      <w:r w:rsidR="0003733F">
        <w:t xml:space="preserve">ze kandidatuur zal de goedkeuring </w:t>
      </w:r>
      <w:r w:rsidR="00FD2892">
        <w:t xml:space="preserve">vereisen van </w:t>
      </w:r>
      <w:r w:rsidR="005A4354">
        <w:t xml:space="preserve">de vergadering van vennoten van de Maatschap. </w:t>
      </w:r>
    </w:p>
    <w:p w14:paraId="21477969" w14:textId="21AEE82E" w:rsidR="00A85AE5" w:rsidRDefault="00E44785" w:rsidP="00257296">
      <w:pPr>
        <w:pStyle w:val="Style3"/>
      </w:pPr>
      <w:bookmarkStart w:id="24" w:name="_Toc1575382"/>
      <w:r>
        <w:t>T</w:t>
      </w:r>
      <w:r w:rsidR="00A85AE5">
        <w:t xml:space="preserve">otaalbedrag van de bezoldigingen aan leden van de raad van bestuur van de </w:t>
      </w:r>
      <w:bookmarkEnd w:id="24"/>
      <w:r w:rsidR="00856BB7">
        <w:t>Maatschap</w:t>
      </w:r>
      <w:r w:rsidR="00A85AE5">
        <w:t xml:space="preserve"> </w:t>
      </w:r>
    </w:p>
    <w:p w14:paraId="4E0963F2" w14:textId="77777777" w:rsidR="004D2AF7" w:rsidRDefault="00A85AE5" w:rsidP="004D2AF7">
      <w:r>
        <w:t xml:space="preserve">Het mandaat van de leden van de raad van bestuur is onbezoldigd. Er worden geen aanwezigheidsgelden betaald, er zijn geen andere beloningen voor bijzondere of permanente opdrachten. </w:t>
      </w:r>
    </w:p>
    <w:p w14:paraId="594C1A99" w14:textId="5A8EDCDD" w:rsidR="00A85AE5" w:rsidRDefault="00A85AE5" w:rsidP="004D2AF7">
      <w:r>
        <w:t xml:space="preserve">Er zijn geen personeelsleden in dienst van de </w:t>
      </w:r>
      <w:r w:rsidR="00856BB7">
        <w:t>Maatschap</w:t>
      </w:r>
      <w:r>
        <w:t xml:space="preserve"> en er zijn geen vergoedingen die op regelmatige </w:t>
      </w:r>
      <w:r w:rsidRPr="003E6E7F">
        <w:t xml:space="preserve">basis door de </w:t>
      </w:r>
      <w:r w:rsidR="00856BB7">
        <w:t>Maatschap</w:t>
      </w:r>
      <w:r w:rsidRPr="003E6E7F">
        <w:t xml:space="preserve"> moeten betaald worden aan verbonden partijen. </w:t>
      </w:r>
    </w:p>
    <w:p w14:paraId="6085F0CE" w14:textId="77777777" w:rsidR="00D56F71" w:rsidRPr="003E6E7F" w:rsidRDefault="00D56F71" w:rsidP="004D2AF7"/>
    <w:p w14:paraId="57A537B2" w14:textId="77777777" w:rsidR="00901CA1" w:rsidRPr="003E6E7F" w:rsidRDefault="00A85AE5" w:rsidP="00257296">
      <w:pPr>
        <w:pStyle w:val="Style3"/>
      </w:pPr>
      <w:bookmarkStart w:id="25" w:name="_Toc1575383"/>
      <w:r w:rsidRPr="003E6E7F">
        <w:t>Vermelding van veroordelingen als bedoeld in Art. 20 van de wet van 25 april 2014</w:t>
      </w:r>
      <w:bookmarkEnd w:id="25"/>
    </w:p>
    <w:p w14:paraId="785698E1" w14:textId="03238C99" w:rsidR="003E6E7F" w:rsidRDefault="003E6E7F">
      <w:pPr>
        <w:pStyle w:val="Style1"/>
        <w:numPr>
          <w:ilvl w:val="0"/>
          <w:numId w:val="0"/>
        </w:numPr>
        <w:rPr>
          <w:b w:val="0"/>
        </w:rPr>
      </w:pPr>
      <w:r w:rsidRPr="002E1DF1">
        <w:rPr>
          <w:b w:val="0"/>
        </w:rPr>
        <w:t xml:space="preserve">Er is voor </w:t>
      </w:r>
      <w:r>
        <w:rPr>
          <w:b w:val="0"/>
        </w:rPr>
        <w:t xml:space="preserve">de </w:t>
      </w:r>
      <w:r w:rsidRPr="002E1DF1">
        <w:rPr>
          <w:b w:val="0"/>
        </w:rPr>
        <w:t>personen die meer dan 5% van het kapitaal</w:t>
      </w:r>
      <w:r>
        <w:rPr>
          <w:b w:val="0"/>
        </w:rPr>
        <w:t xml:space="preserve"> van de </w:t>
      </w:r>
      <w:r w:rsidR="00856BB7">
        <w:rPr>
          <w:b w:val="0"/>
        </w:rPr>
        <w:t>Maatschap</w:t>
      </w:r>
      <w:r w:rsidRPr="002E1DF1">
        <w:rPr>
          <w:b w:val="0"/>
        </w:rPr>
        <w:t xml:space="preserve"> bezitten en voor andere verbonden partijen geen veroordeling te vermelden als bedoeld in artikel 20 van de wet van 25 april 2014 op het statuut van en</w:t>
      </w:r>
      <w:r w:rsidR="00BC3908">
        <w:rPr>
          <w:b w:val="0"/>
        </w:rPr>
        <w:t xml:space="preserve"> </w:t>
      </w:r>
      <w:r w:rsidRPr="002E1DF1">
        <w:rPr>
          <w:b w:val="0"/>
        </w:rPr>
        <w:t>het toezicht op kredietinstellingen en beursvennootschappen.</w:t>
      </w:r>
    </w:p>
    <w:p w14:paraId="13F34084" w14:textId="77777777" w:rsidR="00D56F71" w:rsidRPr="005A4354" w:rsidRDefault="00D56F71" w:rsidP="00D56F71">
      <w:pPr>
        <w:pStyle w:val="Style1"/>
        <w:numPr>
          <w:ilvl w:val="0"/>
          <w:numId w:val="0"/>
        </w:numPr>
        <w:rPr>
          <w:b w:val="0"/>
        </w:rPr>
      </w:pPr>
    </w:p>
    <w:p w14:paraId="52C094EB" w14:textId="67F31A1C" w:rsidR="00807245" w:rsidRDefault="00A85AE5" w:rsidP="00807245">
      <w:pPr>
        <w:pStyle w:val="Style3"/>
      </w:pPr>
      <w:bookmarkStart w:id="26" w:name="_Toc1575384"/>
      <w:r w:rsidRPr="003E6E7F">
        <w:t xml:space="preserve">Belangenconflicten tussen de </w:t>
      </w:r>
      <w:r w:rsidR="00856BB7">
        <w:t>Maatschap</w:t>
      </w:r>
      <w:r w:rsidRPr="003E6E7F">
        <w:t xml:space="preserve"> en haar bestuurders en/of belangrijkste aandeelhouders</w:t>
      </w:r>
      <w:bookmarkEnd w:id="26"/>
      <w:r w:rsidRPr="003E6E7F">
        <w:t xml:space="preserve"> </w:t>
      </w:r>
    </w:p>
    <w:p w14:paraId="11F4DF81" w14:textId="01701AB5" w:rsidR="00807245" w:rsidRDefault="00807245" w:rsidP="00A85AE5">
      <w:r w:rsidRPr="00807245">
        <w:t xml:space="preserve">Volgens artikel 7:96 WVV. moet een lid van de </w:t>
      </w:r>
      <w:r w:rsidR="00582F83">
        <w:t>r</w:t>
      </w:r>
      <w:r w:rsidRPr="00807245">
        <w:t xml:space="preserve">aad van </w:t>
      </w:r>
      <w:r w:rsidR="00582F83">
        <w:t>b</w:t>
      </w:r>
      <w:r w:rsidRPr="00807245">
        <w:t xml:space="preserve">estuur die, rechtstreeks of onrechtstreeks, een belang van vermogensrechtelijke aard heeft dat strijdig is met een beslissing of een verrichting die tot de bevoegdheid behoort van de </w:t>
      </w:r>
      <w:r w:rsidR="00582F83">
        <w:t>r</w:t>
      </w:r>
      <w:r w:rsidRPr="00807245">
        <w:t xml:space="preserve">aad van </w:t>
      </w:r>
      <w:r w:rsidR="00582F83">
        <w:t>b</w:t>
      </w:r>
      <w:r w:rsidRPr="00807245">
        <w:t xml:space="preserve">estuur, dit mededelen aan de andere bestuurders vóór de </w:t>
      </w:r>
      <w:r w:rsidR="00582F83">
        <w:t>r</w:t>
      </w:r>
      <w:r w:rsidRPr="00807245">
        <w:t xml:space="preserve">aad van </w:t>
      </w:r>
      <w:r w:rsidR="00582F83">
        <w:t>b</w:t>
      </w:r>
      <w:r w:rsidRPr="00807245">
        <w:t xml:space="preserve">estuur een besluit neemt. Indien een dergelijk belangenconflict voorkomt, wordt </w:t>
      </w:r>
      <w:r w:rsidRPr="00807245">
        <w:lastRenderedPageBreak/>
        <w:t>het bovenstaande wetsartikel nageleefd. In 202</w:t>
      </w:r>
      <w:r w:rsidR="00BC53B8">
        <w:t>3</w:t>
      </w:r>
      <w:r w:rsidR="00E44FF0">
        <w:t>, 2024</w:t>
      </w:r>
      <w:r w:rsidR="00560B49">
        <w:t xml:space="preserve"> en 202</w:t>
      </w:r>
      <w:r w:rsidR="00E44FF0">
        <w:t>5</w:t>
      </w:r>
      <w:r w:rsidRPr="00807245">
        <w:t xml:space="preserve"> (tot op de publicatiedatum van deze informatienota) hebben zich geen dergelijke belangenconflicten voorgedaan.</w:t>
      </w:r>
    </w:p>
    <w:p w14:paraId="416F278D" w14:textId="77777777" w:rsidR="00D56F71" w:rsidRDefault="00D56F71" w:rsidP="00A85AE5"/>
    <w:p w14:paraId="26423EED" w14:textId="77777777" w:rsidR="005C2E1A" w:rsidRDefault="005C2E1A" w:rsidP="00257296">
      <w:pPr>
        <w:pStyle w:val="Style3"/>
      </w:pPr>
      <w:bookmarkStart w:id="27" w:name="_Toc1575385"/>
      <w:r>
        <w:t>Commissaris</w:t>
      </w:r>
      <w:bookmarkEnd w:id="27"/>
    </w:p>
    <w:p w14:paraId="5674C0A5" w14:textId="6CA68C1D" w:rsidR="005C2E1A" w:rsidRDefault="005C2E1A" w:rsidP="005C2E1A">
      <w:r>
        <w:t xml:space="preserve">Er is geen </w:t>
      </w:r>
      <w:r w:rsidR="00E44785">
        <w:t>c</w:t>
      </w:r>
      <w:r>
        <w:t xml:space="preserve">ommissaris aangesteld voor de </w:t>
      </w:r>
      <w:r w:rsidR="00856BB7">
        <w:t>Maatschap</w:t>
      </w:r>
      <w:r>
        <w:t xml:space="preserve">. </w:t>
      </w:r>
    </w:p>
    <w:p w14:paraId="69817EF4" w14:textId="77777777" w:rsidR="00D56F71" w:rsidRDefault="00D56F71" w:rsidP="005C2E1A"/>
    <w:p w14:paraId="580F5CC5" w14:textId="1AB5AB2F" w:rsidR="004053F8" w:rsidRDefault="005C2E1A" w:rsidP="00257296">
      <w:pPr>
        <w:pStyle w:val="Style2"/>
      </w:pPr>
      <w:bookmarkStart w:id="28" w:name="_Toc1575386"/>
      <w:bookmarkStart w:id="29" w:name="_Toc1734420"/>
      <w:r>
        <w:t xml:space="preserve">Financiële informatie over de </w:t>
      </w:r>
      <w:bookmarkEnd w:id="28"/>
      <w:bookmarkEnd w:id="29"/>
      <w:r w:rsidR="00856BB7">
        <w:t>Maatschap</w:t>
      </w:r>
    </w:p>
    <w:p w14:paraId="6066E1CF" w14:textId="77777777" w:rsidR="005C2E1A" w:rsidRDefault="005C2E1A" w:rsidP="00257296">
      <w:pPr>
        <w:pStyle w:val="Style3"/>
      </w:pPr>
      <w:bookmarkStart w:id="30" w:name="_Toc1575387"/>
      <w:r>
        <w:t>Jaarrekeningen</w:t>
      </w:r>
      <w:bookmarkEnd w:id="30"/>
      <w:r>
        <w:t xml:space="preserve"> </w:t>
      </w:r>
    </w:p>
    <w:p w14:paraId="3C1C02E0" w14:textId="4A7AEBE9" w:rsidR="00D56F71" w:rsidRDefault="00582F83" w:rsidP="005C2E1A">
      <w:r>
        <w:t xml:space="preserve">De </w:t>
      </w:r>
      <w:r w:rsidR="008D0E85">
        <w:t xml:space="preserve">Maatschap </w:t>
      </w:r>
      <w:r w:rsidR="00ED1C2C">
        <w:t>dient geen jaarrekeningen op te maken.</w:t>
      </w:r>
    </w:p>
    <w:p w14:paraId="018BB6D8" w14:textId="77777777" w:rsidR="005C2E1A" w:rsidRDefault="005C2E1A" w:rsidP="00257296">
      <w:pPr>
        <w:pStyle w:val="Style3"/>
      </w:pPr>
      <w:bookmarkStart w:id="31" w:name="_Toc1575388"/>
      <w:r>
        <w:t>Werkkapitaal</w:t>
      </w:r>
      <w:bookmarkEnd w:id="31"/>
      <w:r>
        <w:tab/>
      </w:r>
    </w:p>
    <w:p w14:paraId="164760C2" w14:textId="5ED3CC3B" w:rsidR="00D56F71" w:rsidRDefault="005C2E1A" w:rsidP="005C2E1A">
      <w:r>
        <w:t xml:space="preserve">De </w:t>
      </w:r>
      <w:r w:rsidR="00856BB7">
        <w:t>Maatschap</w:t>
      </w:r>
      <w:r>
        <w:t xml:space="preserve"> heeft geen operationele act</w:t>
      </w:r>
      <w:r w:rsidR="00E44785">
        <w:t>i</w:t>
      </w:r>
      <w:r>
        <w:t xml:space="preserve">viteiten en heeft quasi geen handelsschulden of handelsvorderingen. </w:t>
      </w:r>
      <w:r w:rsidR="00582F83">
        <w:t>O</w:t>
      </w:r>
      <w:r w:rsidR="008D0E85">
        <w:t xml:space="preserve">perationele kosten voor het beheer van de maatschap worden gedragen door </w:t>
      </w:r>
      <w:r w:rsidR="00284966">
        <w:t>D</w:t>
      </w:r>
      <w:r w:rsidR="008D0E85">
        <w:t>e Cronos Groep NV.</w:t>
      </w:r>
      <w:r w:rsidR="00582F83">
        <w:t xml:space="preserve"> </w:t>
      </w:r>
      <w:r w:rsidR="008D0E85">
        <w:t xml:space="preserve">Er is bijgevolg ook geen werkkapitaalbehoefte op niveau van de </w:t>
      </w:r>
      <w:r w:rsidR="00582F83">
        <w:t>M</w:t>
      </w:r>
      <w:r w:rsidR="008D0E85">
        <w:t>aatschap.</w:t>
      </w:r>
    </w:p>
    <w:p w14:paraId="4EF2C1EF" w14:textId="77777777" w:rsidR="00344F1A" w:rsidRDefault="00344F1A" w:rsidP="00257296">
      <w:pPr>
        <w:pStyle w:val="Style3"/>
      </w:pPr>
      <w:bookmarkStart w:id="32" w:name="_Toc1575389"/>
      <w:r>
        <w:t>Eigen vermogen en schuldenlast</w:t>
      </w:r>
      <w:bookmarkEnd w:id="32"/>
      <w:r>
        <w:t xml:space="preserve"> </w:t>
      </w:r>
    </w:p>
    <w:p w14:paraId="28583EF8" w14:textId="202CCFD8" w:rsidR="00D56F71" w:rsidRPr="00CE6F35" w:rsidRDefault="00D11A8A" w:rsidP="00344F1A">
      <w:r w:rsidRPr="00CE6F35">
        <w:t xml:space="preserve">Het eigen vermogen van de </w:t>
      </w:r>
      <w:r w:rsidR="00856BB7">
        <w:t>Maatschap</w:t>
      </w:r>
      <w:r w:rsidR="00ED1C2C">
        <w:t xml:space="preserve"> bedraagt op publicatiedatum van deze informatienota €1.841.600</w:t>
      </w:r>
      <w:r w:rsidR="008D0E85">
        <w:t>.</w:t>
      </w:r>
      <w:r w:rsidR="00582F83">
        <w:t xml:space="preserve"> </w:t>
      </w:r>
      <w:r w:rsidR="008D0E85">
        <w:t>D</w:t>
      </w:r>
      <w:r w:rsidRPr="00CE6F35">
        <w:t xml:space="preserve">e </w:t>
      </w:r>
      <w:r w:rsidR="00856BB7">
        <w:t>Maatschap</w:t>
      </w:r>
      <w:r w:rsidRPr="00CE6F35">
        <w:t xml:space="preserve"> </w:t>
      </w:r>
      <w:r w:rsidR="00582F83">
        <w:t xml:space="preserve">zal uit de aard van haar activiteiten geen materiële schulden aangaan. </w:t>
      </w:r>
    </w:p>
    <w:p w14:paraId="6B1D9FCC" w14:textId="77777777" w:rsidR="00344F1A" w:rsidRDefault="00344F1A" w:rsidP="00257296">
      <w:pPr>
        <w:pStyle w:val="Style3"/>
      </w:pPr>
      <w:bookmarkStart w:id="33" w:name="_Toc1575390"/>
      <w:r>
        <w:t>Wijziging in de financiële positie na afsluitdatum van het laatst neergelegde boekjaar.</w:t>
      </w:r>
      <w:bookmarkEnd w:id="33"/>
    </w:p>
    <w:p w14:paraId="184781DB" w14:textId="1477F61D" w:rsidR="00D56F71" w:rsidRDefault="00636404" w:rsidP="00344F1A">
      <w:r>
        <w:t>Omdat de Maatschap nog geen jaarrekening neerlegde, is dit punt niet van toepassing</w:t>
      </w:r>
      <w:r w:rsidR="00344F1A">
        <w:t xml:space="preserve">. </w:t>
      </w:r>
    </w:p>
    <w:p w14:paraId="6D524DB1" w14:textId="77777777" w:rsidR="00636404" w:rsidRDefault="00636404" w:rsidP="00344F1A"/>
    <w:p w14:paraId="1465F010" w14:textId="77777777" w:rsidR="00614B9A" w:rsidRPr="00F536EB" w:rsidRDefault="00614B9A" w:rsidP="00257296">
      <w:pPr>
        <w:pStyle w:val="Style2"/>
      </w:pPr>
      <w:bookmarkStart w:id="34" w:name="_Toc1575391"/>
      <w:bookmarkStart w:id="35" w:name="_Toc1734421"/>
      <w:r w:rsidRPr="00F536EB">
        <w:t>Beschrijving van het onderliggende actief</w:t>
      </w:r>
      <w:bookmarkEnd w:id="34"/>
      <w:bookmarkEnd w:id="35"/>
    </w:p>
    <w:p w14:paraId="25B76204" w14:textId="16F76ABA" w:rsidR="00614B9A" w:rsidRDefault="00614B9A" w:rsidP="00614B9A">
      <w:r w:rsidRPr="00F536EB">
        <w:t xml:space="preserve">De </w:t>
      </w:r>
      <w:r w:rsidR="00856BB7">
        <w:t>Maatschap</w:t>
      </w:r>
      <w:r w:rsidRPr="00F536EB">
        <w:t xml:space="preserve"> zal met het opgehaalde </w:t>
      </w:r>
      <w:r w:rsidR="00636404">
        <w:t>vermogen</w:t>
      </w:r>
      <w:r w:rsidRPr="00F536EB">
        <w:t xml:space="preserve"> van deze aanbieding overgaan tot de investering in </w:t>
      </w:r>
      <w:r w:rsidR="00747739">
        <w:t>(</w:t>
      </w:r>
      <w:r w:rsidRPr="00F536EB">
        <w:t>bijkomende</w:t>
      </w:r>
      <w:r w:rsidR="00747739">
        <w:t>)</w:t>
      </w:r>
      <w:r w:rsidRPr="00F536EB">
        <w:t xml:space="preserve"> aandelen van</w:t>
      </w:r>
      <w:r w:rsidR="00747739">
        <w:t xml:space="preserve"> Empart </w:t>
      </w:r>
      <w:r w:rsidR="002562D4">
        <w:t xml:space="preserve">BV en Empart II BV die </w:t>
      </w:r>
      <w:r w:rsidR="00AA38AE">
        <w:t>op h</w:t>
      </w:r>
      <w:r w:rsidR="002562D4">
        <w:t>un</w:t>
      </w:r>
      <w:r w:rsidR="00AA38AE">
        <w:t xml:space="preserve"> beurt</w:t>
      </w:r>
      <w:r w:rsidR="00467E06">
        <w:t xml:space="preserve"> </w:t>
      </w:r>
      <w:r w:rsidR="00AB2281">
        <w:t xml:space="preserve">aandelen </w:t>
      </w:r>
      <w:r w:rsidR="00636404">
        <w:t xml:space="preserve">in </w:t>
      </w:r>
      <w:r w:rsidR="00AB2281">
        <w:t>De Cronos Groep</w:t>
      </w:r>
      <w:r w:rsidR="00636404">
        <w:t xml:space="preserve"> NV</w:t>
      </w:r>
      <w:r w:rsidR="00AB2281">
        <w:t xml:space="preserve"> aanhoud</w:t>
      </w:r>
      <w:r w:rsidR="002562D4">
        <w:t>en</w:t>
      </w:r>
      <w:r w:rsidR="00636404">
        <w:t xml:space="preserve">. </w:t>
      </w:r>
    </w:p>
    <w:p w14:paraId="39856759" w14:textId="77777777" w:rsidR="00D56F71" w:rsidRDefault="00D56F71" w:rsidP="00614B9A"/>
    <w:p w14:paraId="073802E2" w14:textId="77777777" w:rsidR="00614B9A" w:rsidRDefault="00614B9A" w:rsidP="00257296">
      <w:pPr>
        <w:pStyle w:val="Style3"/>
      </w:pPr>
      <w:bookmarkStart w:id="36" w:name="_Toc1575392"/>
      <w:r>
        <w:t>Identiteit van het onderliggende actief</w:t>
      </w:r>
      <w:bookmarkEnd w:id="36"/>
      <w:r>
        <w:t xml:space="preserve"> </w:t>
      </w:r>
    </w:p>
    <w:p w14:paraId="0AD339E6" w14:textId="77777777" w:rsidR="00614B9A" w:rsidRDefault="00614B9A" w:rsidP="00257296">
      <w:pPr>
        <w:pStyle w:val="Style4"/>
      </w:pPr>
      <w:bookmarkStart w:id="37" w:name="_Toc1575393"/>
      <w:r>
        <w:t>Informatie over het onderliggende actief</w:t>
      </w:r>
      <w:bookmarkEnd w:id="37"/>
    </w:p>
    <w:p w14:paraId="6460DCF5" w14:textId="77777777" w:rsidR="00614B9A" w:rsidRDefault="00614B9A" w:rsidP="00614B9A">
      <w:pPr>
        <w:pStyle w:val="ListParagraph"/>
        <w:ind w:left="2160"/>
      </w:pPr>
      <w:r>
        <w:t xml:space="preserve"> </w:t>
      </w:r>
    </w:p>
    <w:p w14:paraId="730989E1" w14:textId="77777777" w:rsidR="00614B9A" w:rsidRDefault="00614B9A" w:rsidP="00526731">
      <w:r w:rsidRPr="00526731">
        <w:rPr>
          <w:b/>
        </w:rPr>
        <w:t xml:space="preserve">Naam : </w:t>
      </w:r>
      <w:r w:rsidRPr="00526731">
        <w:rPr>
          <w:b/>
        </w:rPr>
        <w:tab/>
      </w:r>
      <w:r w:rsidRPr="00526731">
        <w:rPr>
          <w:b/>
        </w:rPr>
        <w:tab/>
      </w:r>
      <w:r w:rsidRPr="00526731">
        <w:rPr>
          <w:b/>
        </w:rPr>
        <w:tab/>
      </w:r>
      <w:r w:rsidR="00526731">
        <w:rPr>
          <w:b/>
        </w:rPr>
        <w:tab/>
      </w:r>
      <w:r>
        <w:t xml:space="preserve">De Cronos Groep </w:t>
      </w:r>
    </w:p>
    <w:p w14:paraId="4FFB65A3" w14:textId="77777777" w:rsidR="00614B9A" w:rsidRDefault="00614B9A" w:rsidP="00526731">
      <w:r w:rsidRPr="00526731">
        <w:rPr>
          <w:b/>
        </w:rPr>
        <w:t xml:space="preserve">Rechtsvorm: </w:t>
      </w:r>
      <w:r>
        <w:tab/>
      </w:r>
      <w:r>
        <w:tab/>
      </w:r>
      <w:r>
        <w:tab/>
      </w:r>
      <w:r w:rsidR="00526731">
        <w:t>n</w:t>
      </w:r>
      <w:r>
        <w:t>aamloze vennootschap</w:t>
      </w:r>
    </w:p>
    <w:p w14:paraId="7A770371" w14:textId="77777777" w:rsidR="00614B9A" w:rsidRDefault="00614B9A" w:rsidP="00526731">
      <w:r w:rsidRPr="00526731">
        <w:rPr>
          <w:b/>
        </w:rPr>
        <w:t>Maatschappelijke zetel:</w:t>
      </w:r>
      <w:r>
        <w:t xml:space="preserve"> </w:t>
      </w:r>
      <w:r>
        <w:tab/>
        <w:t xml:space="preserve">Veldkant 33A, 2550 Kontich </w:t>
      </w:r>
    </w:p>
    <w:p w14:paraId="42CBEF1A" w14:textId="77777777" w:rsidR="00614B9A" w:rsidRDefault="00614B9A" w:rsidP="00526731">
      <w:r w:rsidRPr="00526731">
        <w:rPr>
          <w:b/>
        </w:rPr>
        <w:t xml:space="preserve">Ondernemingsnummer: </w:t>
      </w:r>
      <w:r>
        <w:tab/>
        <w:t>0467.132.994</w:t>
      </w:r>
    </w:p>
    <w:p w14:paraId="24A08566" w14:textId="77777777" w:rsidR="00614B9A" w:rsidRDefault="00614B9A" w:rsidP="00526731">
      <w:r w:rsidRPr="00526731">
        <w:rPr>
          <w:b/>
        </w:rPr>
        <w:t>Land van herkomst:</w:t>
      </w:r>
      <w:r w:rsidRPr="00526731">
        <w:rPr>
          <w:b/>
        </w:rPr>
        <w:tab/>
      </w:r>
      <w:r>
        <w:tab/>
        <w:t xml:space="preserve">België </w:t>
      </w:r>
    </w:p>
    <w:p w14:paraId="3D2A6270" w14:textId="77777777" w:rsidR="00B7625D" w:rsidRDefault="00B7625D" w:rsidP="00526731">
      <w:r w:rsidRPr="00CE6F35">
        <w:rPr>
          <w:b/>
        </w:rPr>
        <w:t>Website:</w:t>
      </w:r>
      <w:r>
        <w:tab/>
      </w:r>
      <w:r>
        <w:tab/>
      </w:r>
      <w:r>
        <w:tab/>
      </w:r>
      <w:r w:rsidRPr="00B7625D">
        <w:t>https://cronos-groep.be/</w:t>
      </w:r>
    </w:p>
    <w:p w14:paraId="1E0F2800" w14:textId="77777777" w:rsidR="00614B9A" w:rsidRDefault="00614B9A" w:rsidP="00614B9A">
      <w:pPr>
        <w:pStyle w:val="ListParagraph"/>
        <w:rPr>
          <w:b/>
        </w:rPr>
      </w:pPr>
    </w:p>
    <w:p w14:paraId="467E3C26" w14:textId="7C1DB773" w:rsidR="00614B9A" w:rsidRDefault="00614B9A" w:rsidP="00257296">
      <w:pPr>
        <w:pStyle w:val="Style4"/>
      </w:pPr>
      <w:bookmarkStart w:id="38" w:name="_Toc1575394"/>
      <w:r>
        <w:t xml:space="preserve">Activiteiten van </w:t>
      </w:r>
      <w:r w:rsidR="00727096">
        <w:t xml:space="preserve">De </w:t>
      </w:r>
      <w:bookmarkEnd w:id="38"/>
      <w:r w:rsidR="00E44785">
        <w:t>Cronos Groep NV</w:t>
      </w:r>
      <w:r w:rsidR="00727096">
        <w:t xml:space="preserve"> </w:t>
      </w:r>
      <w:r>
        <w:t xml:space="preserve"> </w:t>
      </w:r>
    </w:p>
    <w:p w14:paraId="1A2F1909" w14:textId="5A359701" w:rsidR="00BC53B8" w:rsidRPr="005C12C1" w:rsidRDefault="00BC53B8" w:rsidP="00BC53B8">
      <w:pPr>
        <w:spacing w:after="120" w:line="240" w:lineRule="auto"/>
        <w:jc w:val="both"/>
      </w:pPr>
      <w:bookmarkStart w:id="39" w:name="_Hlk123889713"/>
      <w:r w:rsidRPr="005C12C1">
        <w:t xml:space="preserve">De </w:t>
      </w:r>
      <w:r>
        <w:t xml:space="preserve">Cronos </w:t>
      </w:r>
      <w:r w:rsidR="00F2113F">
        <w:t>g</w:t>
      </w:r>
      <w:r>
        <w:t>roep</w:t>
      </w:r>
      <w:r w:rsidRPr="005C12C1">
        <w:t xml:space="preserve"> ontstond in 1991 en is via organische groei uitgegroeid tot de belangrijkste onafhankelijke ICT-dienst verlener groep in België. </w:t>
      </w:r>
    </w:p>
    <w:p w14:paraId="1BE02738" w14:textId="472C64D9" w:rsidR="00BC53B8" w:rsidRPr="005C12C1" w:rsidRDefault="00BC53B8" w:rsidP="00BC53B8">
      <w:pPr>
        <w:spacing w:after="120" w:line="240" w:lineRule="auto"/>
        <w:jc w:val="both"/>
      </w:pPr>
      <w:r>
        <w:t>De Cronos Groep</w:t>
      </w:r>
      <w:r w:rsidR="0016460A">
        <w:t xml:space="preserve"> NV</w:t>
      </w:r>
      <w:r w:rsidRPr="005C12C1">
        <w:t xml:space="preserve"> is een holding met onderliggend diverse </w:t>
      </w:r>
      <w:r>
        <w:t>d</w:t>
      </w:r>
      <w:r w:rsidRPr="005C12C1">
        <w:t xml:space="preserve">ochtermaatschappijen. De opbrengsten van </w:t>
      </w:r>
      <w:r>
        <w:t>De Cronos Groep</w:t>
      </w:r>
      <w:r w:rsidR="0016460A">
        <w:t xml:space="preserve"> NV</w:t>
      </w:r>
      <w:r w:rsidRPr="005C12C1">
        <w:t xml:space="preserve"> bestaan uit de levering van diensten vanuit het shared service center aan de </w:t>
      </w:r>
      <w:r w:rsidR="008A421E">
        <w:t>d</w:t>
      </w:r>
      <w:r w:rsidRPr="005C12C1">
        <w:t xml:space="preserve">ochtermaatschappijen en uit financiële opbrengsten (intresten, dividenden en verkoop financiële vaste activa). </w:t>
      </w:r>
    </w:p>
    <w:p w14:paraId="014D449F" w14:textId="04976477" w:rsidR="00BC53B8" w:rsidRDefault="00BC53B8" w:rsidP="00BC53B8">
      <w:pPr>
        <w:spacing w:after="120" w:line="240" w:lineRule="auto"/>
        <w:jc w:val="both"/>
      </w:pPr>
      <w:r w:rsidRPr="005C12C1">
        <w:t xml:space="preserve">De </w:t>
      </w:r>
      <w:r w:rsidR="0016460A">
        <w:t>Cronos groep</w:t>
      </w:r>
      <w:r w:rsidRPr="005C12C1">
        <w:t xml:space="preserve"> profileert zich ook steeds meer als een early</w:t>
      </w:r>
      <w:r w:rsidR="0099029B">
        <w:t>-</w:t>
      </w:r>
      <w:r w:rsidRPr="005C12C1">
        <w:t xml:space="preserve">stage investor, incubator en </w:t>
      </w:r>
      <w:r w:rsidR="00B02D77" w:rsidRPr="005C12C1">
        <w:t>venture</w:t>
      </w:r>
      <w:r w:rsidR="00B02D77">
        <w:t>capitalist</w:t>
      </w:r>
      <w:r w:rsidRPr="005C12C1">
        <w:t xml:space="preserve">. De </w:t>
      </w:r>
      <w:r w:rsidR="00B02D77">
        <w:t xml:space="preserve">Cronos </w:t>
      </w:r>
      <w:r>
        <w:t>g</w:t>
      </w:r>
      <w:r w:rsidRPr="005C12C1">
        <w:t xml:space="preserve">roep participeert in meer dan </w:t>
      </w:r>
      <w:r w:rsidR="00B02D77">
        <w:t>6</w:t>
      </w:r>
      <w:r w:rsidRPr="005C12C1">
        <w:t xml:space="preserve">00 bedrijven in diverse sectoren en is actief betrokken bij de opstart van </w:t>
      </w:r>
      <w:r w:rsidR="00230C81">
        <w:t>nieuwe bedrijven</w:t>
      </w:r>
      <w:r w:rsidRPr="005C12C1">
        <w:t>.</w:t>
      </w:r>
    </w:p>
    <w:p w14:paraId="4F3E455C" w14:textId="25052521" w:rsidR="00614B9A" w:rsidRDefault="00BC53B8" w:rsidP="002562D4">
      <w:pPr>
        <w:pStyle w:val="Style4"/>
        <w:numPr>
          <w:ilvl w:val="0"/>
          <w:numId w:val="0"/>
        </w:numPr>
      </w:pPr>
      <w:r w:rsidRPr="005C12C1">
        <w:t xml:space="preserve">Naast de operationele ICT </w:t>
      </w:r>
      <w:r w:rsidR="00F045DD">
        <w:t xml:space="preserve">– diensten </w:t>
      </w:r>
      <w:r w:rsidRPr="005C12C1">
        <w:t>(CRM, ERP, infrastructuur, software</w:t>
      </w:r>
      <w:r>
        <w:t>ontwikkeling</w:t>
      </w:r>
      <w:r w:rsidRPr="005C12C1">
        <w:t xml:space="preserve"> etc.) is de </w:t>
      </w:r>
      <w:r w:rsidR="00F045DD">
        <w:t xml:space="preserve">Cronos </w:t>
      </w:r>
      <w:r>
        <w:t>g</w:t>
      </w:r>
      <w:r w:rsidRPr="005C12C1">
        <w:t xml:space="preserve">roep eveneens marktleider op het gebied van de nieuwste trends (Artificial Intelligence, cloud, IoT, security etc.). </w:t>
      </w:r>
      <w:bookmarkStart w:id="40" w:name="_Toc239843265"/>
      <w:bookmarkEnd w:id="40"/>
      <w:r w:rsidRPr="005C12C1">
        <w:t xml:space="preserve">Vanuit de diverse groepsbedrijven levert de </w:t>
      </w:r>
      <w:r w:rsidR="00F045DD">
        <w:t xml:space="preserve">Cronos </w:t>
      </w:r>
      <w:r>
        <w:t>g</w:t>
      </w:r>
      <w:r w:rsidRPr="005C12C1">
        <w:t xml:space="preserve">roep voornamelijk IT-diensten aan haar klanten. Naast technische </w:t>
      </w:r>
      <w:r w:rsidR="001000CE">
        <w:t>mensen</w:t>
      </w:r>
      <w:r w:rsidRPr="005C12C1">
        <w:t xml:space="preserve"> stelt de</w:t>
      </w:r>
      <w:r w:rsidR="00B44837">
        <w:t xml:space="preserve"> </w:t>
      </w:r>
      <w:r w:rsidR="001000CE">
        <w:t xml:space="preserve">Cronos </w:t>
      </w:r>
      <w:r w:rsidR="001000CE" w:rsidRPr="005C12C1">
        <w:t>groep</w:t>
      </w:r>
      <w:r w:rsidRPr="005C12C1">
        <w:t xml:space="preserve"> eveneens</w:t>
      </w:r>
      <w:r w:rsidR="001000CE">
        <w:t xml:space="preserve"> andere profielen</w:t>
      </w:r>
      <w:r w:rsidRPr="005C12C1">
        <w:t xml:space="preserve"> tewerk dewelke marketing- en communicatiediensten aanbieden aan de klanten. De </w:t>
      </w:r>
      <w:r w:rsidR="00EE7281">
        <w:t xml:space="preserve">Cronos </w:t>
      </w:r>
      <w:r>
        <w:t>g</w:t>
      </w:r>
      <w:r w:rsidRPr="005C12C1">
        <w:t>roep beoogt bedrijven op een creatieve, kwaliteitsvolle en rendementsvolle manier te helpen om te gaan met de mogelijkheden van nieuwe technologieën. Zo kunnen bedrijven het maximale halen uit bestaande investeringen en tegelijk competitief voordeel halen uit nieuwe technologische opportuniteite</w:t>
      </w:r>
      <w:bookmarkEnd w:id="39"/>
      <w:r w:rsidR="00723350">
        <w:t>n</w:t>
      </w:r>
      <w:r w:rsidR="007500D0">
        <w:t xml:space="preserve">. </w:t>
      </w:r>
      <w:bookmarkStart w:id="41" w:name="_Toc1575395"/>
      <w:r w:rsidR="00526731">
        <w:t xml:space="preserve">Belangrijkste aandeelhouders van </w:t>
      </w:r>
      <w:r w:rsidR="00727096">
        <w:t xml:space="preserve">De </w:t>
      </w:r>
      <w:bookmarkEnd w:id="41"/>
      <w:r w:rsidR="00E44785">
        <w:t>Cronos Groep NV</w:t>
      </w:r>
      <w:r w:rsidR="00526731">
        <w:t xml:space="preserve"> </w:t>
      </w:r>
    </w:p>
    <w:p w14:paraId="22F7CAE4" w14:textId="284FE44B" w:rsidR="00526731" w:rsidRDefault="00526731" w:rsidP="00526731">
      <w:r>
        <w:t xml:space="preserve">De belangrijkste aandeelhouder van De </w:t>
      </w:r>
      <w:r w:rsidR="00E44785">
        <w:t>Cronos Groep NV</w:t>
      </w:r>
      <w:r>
        <w:t xml:space="preserve"> is de naamloze vennootschap Nuclys, die een belang aanhoudt in De </w:t>
      </w:r>
      <w:r w:rsidR="00E44785">
        <w:t>Cronos Groep NV</w:t>
      </w:r>
      <w:r>
        <w:t xml:space="preserve"> van </w:t>
      </w:r>
      <w:r w:rsidR="008062F1">
        <w:t>9</w:t>
      </w:r>
      <w:r w:rsidR="002562D4">
        <w:t>5</w:t>
      </w:r>
      <w:r>
        <w:t>,</w:t>
      </w:r>
      <w:r w:rsidR="002562D4">
        <w:t>22</w:t>
      </w:r>
      <w:r>
        <w:t xml:space="preserve">%. </w:t>
      </w:r>
      <w:r w:rsidR="002562D4">
        <w:t>De besloten vennootschap Empart en Empart II houden samen een belang aan in De Cronos Groep NV van 3,77%</w:t>
      </w:r>
    </w:p>
    <w:p w14:paraId="36BCA1C5" w14:textId="77777777" w:rsidR="00D56F71" w:rsidRDefault="00D56F71" w:rsidP="00526731"/>
    <w:p w14:paraId="172F58F5" w14:textId="77777777" w:rsidR="00526731" w:rsidRDefault="00526731" w:rsidP="00257296">
      <w:pPr>
        <w:pStyle w:val="Style4"/>
      </w:pPr>
      <w:bookmarkStart w:id="42" w:name="_Toc1575396"/>
      <w:r>
        <w:t xml:space="preserve">Transacties tussen De </w:t>
      </w:r>
      <w:r w:rsidR="00E44785">
        <w:t>Cronos Groep NV</w:t>
      </w:r>
      <w:r>
        <w:t xml:space="preserve"> en haar belangrijkste aandeelhouders of andere </w:t>
      </w:r>
      <w:r w:rsidR="00E44785">
        <w:t xml:space="preserve">verbonden </w:t>
      </w:r>
      <w:r>
        <w:t>partijen</w:t>
      </w:r>
      <w:bookmarkEnd w:id="42"/>
    </w:p>
    <w:p w14:paraId="35E05077" w14:textId="0B8E28DC" w:rsidR="001B60FE" w:rsidRDefault="00526731" w:rsidP="00526731">
      <w:r>
        <w:t xml:space="preserve">De </w:t>
      </w:r>
      <w:r w:rsidR="00E44785">
        <w:t>Cronos Groep NV</w:t>
      </w:r>
      <w:r>
        <w:t xml:space="preserve"> neemt bepaalde diensten af van haar aandeelhouder Nuclys </w:t>
      </w:r>
      <w:r w:rsidR="00E44785">
        <w:t xml:space="preserve">NV </w:t>
      </w:r>
      <w:r>
        <w:t>en betaal</w:t>
      </w:r>
      <w:r w:rsidR="00E841B1">
        <w:t>t</w:t>
      </w:r>
      <w:r>
        <w:t xml:space="preserve"> hier een marktconforme vergoeding voor. </w:t>
      </w:r>
      <w:r w:rsidR="00D11A8A" w:rsidRPr="00CE6F35">
        <w:t xml:space="preserve">Deze diensten bestaan uit ondersteunende diensten voor het shared service center van </w:t>
      </w:r>
      <w:r w:rsidR="00D11A8A" w:rsidRPr="002919DD">
        <w:t>De Cronos Groep NV. In 20</w:t>
      </w:r>
      <w:r w:rsidR="00077939" w:rsidRPr="002919DD">
        <w:t>2</w:t>
      </w:r>
      <w:r w:rsidR="002562D4">
        <w:t>4</w:t>
      </w:r>
      <w:r w:rsidR="00D11A8A" w:rsidRPr="002919DD">
        <w:t xml:space="preserve"> </w:t>
      </w:r>
      <w:r w:rsidR="00BF6411">
        <w:t xml:space="preserve">werd voor </w:t>
      </w:r>
      <w:r w:rsidR="00955496" w:rsidRPr="002919DD">
        <w:t>deze diensten</w:t>
      </w:r>
      <w:r w:rsidR="00BF6411">
        <w:t xml:space="preserve"> een bedrag van</w:t>
      </w:r>
      <w:r w:rsidR="00955496" w:rsidRPr="002919DD">
        <w:t xml:space="preserve"> €</w:t>
      </w:r>
      <w:r w:rsidR="00230C81">
        <w:t xml:space="preserve"> 755.727,44</w:t>
      </w:r>
      <w:r w:rsidR="00955496" w:rsidRPr="002919DD">
        <w:t xml:space="preserve"> </w:t>
      </w:r>
      <w:r w:rsidR="00BF6411">
        <w:t>gefactureerd</w:t>
      </w:r>
      <w:r w:rsidR="00362A24">
        <w:t>.</w:t>
      </w:r>
      <w:r w:rsidR="001B60FE">
        <w:t xml:space="preserve"> </w:t>
      </w:r>
    </w:p>
    <w:p w14:paraId="36C9F433" w14:textId="23435A8A" w:rsidR="00D56F71" w:rsidRPr="00DB3B81" w:rsidRDefault="001B60FE" w:rsidP="00526731">
      <w:r>
        <w:t xml:space="preserve">Naast de transacties met Nuclys NV, de belangrijkste aandeelhouder van </w:t>
      </w:r>
      <w:r w:rsidR="00284966">
        <w:t>d</w:t>
      </w:r>
      <w:r>
        <w:t xml:space="preserve">e Cronos </w:t>
      </w:r>
      <w:r w:rsidR="00284966">
        <w:t>g</w:t>
      </w:r>
      <w:r>
        <w:t>roep, zijn er ook verschillende transacties tussen De Cronos Groep NV en haar dochtervennootschappen</w:t>
      </w:r>
      <w:r w:rsidR="008F173D">
        <w:t>. De Cronos Groep NV treedt op als in-house bank voor de hele groep en houdt zowel vordering</w:t>
      </w:r>
      <w:r w:rsidR="006617A8">
        <w:t>en</w:t>
      </w:r>
      <w:r w:rsidR="008F173D">
        <w:t xml:space="preserve"> als schulden aan de meeste dochtervennootschappen. Daarnaast zijn er ook handelsvorderingen en handelsschulden tussen De Cronos Groep NV en de meeste dochtervennootschappen</w:t>
      </w:r>
      <w:r w:rsidR="006617A8">
        <w:t xml:space="preserve"> voor geleverde diensten</w:t>
      </w:r>
      <w:r w:rsidR="008F173D">
        <w:t xml:space="preserve">. </w:t>
      </w:r>
    </w:p>
    <w:p w14:paraId="2517B625" w14:textId="77777777" w:rsidR="00526731" w:rsidRDefault="00526731" w:rsidP="00257296">
      <w:pPr>
        <w:pStyle w:val="Style4"/>
      </w:pPr>
      <w:bookmarkStart w:id="43" w:name="_Toc1575397"/>
      <w:r>
        <w:t xml:space="preserve">Bestuur van </w:t>
      </w:r>
      <w:r w:rsidR="00727096">
        <w:t xml:space="preserve">De </w:t>
      </w:r>
      <w:bookmarkEnd w:id="43"/>
      <w:r w:rsidR="00E44785">
        <w:t>Cronos Groep NV</w:t>
      </w:r>
      <w:r>
        <w:t xml:space="preserve"> </w:t>
      </w:r>
    </w:p>
    <w:p w14:paraId="19B37FD6" w14:textId="678E283B" w:rsidR="00526731" w:rsidRDefault="00E908B0" w:rsidP="00526731">
      <w:r>
        <w:t xml:space="preserve">De raad van bestuur van De </w:t>
      </w:r>
      <w:r w:rsidR="00E44785">
        <w:t>Cronos Groep NV</w:t>
      </w:r>
      <w:r>
        <w:t xml:space="preserve"> is samengesteld als volgt: </w:t>
      </w:r>
    </w:p>
    <w:p w14:paraId="163BF8C8" w14:textId="0313ED8D" w:rsidR="00E908B0" w:rsidRDefault="00E908B0" w:rsidP="00E908B0">
      <w:pPr>
        <w:pStyle w:val="ListParagraph"/>
        <w:numPr>
          <w:ilvl w:val="0"/>
          <w:numId w:val="5"/>
        </w:numPr>
      </w:pPr>
      <w:r>
        <w:t xml:space="preserve">Jef </w:t>
      </w:r>
      <w:r w:rsidR="008A421E">
        <w:t>d</w:t>
      </w:r>
      <w:r>
        <w:t xml:space="preserve">e Wit </w:t>
      </w:r>
      <w:r>
        <w:tab/>
      </w:r>
      <w:r>
        <w:tab/>
      </w:r>
      <w:r w:rsidR="00491B4E">
        <w:tab/>
      </w:r>
      <w:r w:rsidR="00A73C96">
        <w:t>21</w:t>
      </w:r>
      <w:r>
        <w:t>/</w:t>
      </w:r>
      <w:r w:rsidR="00A73C96">
        <w:t>12</w:t>
      </w:r>
      <w:r>
        <w:t>/</w:t>
      </w:r>
      <w:r w:rsidR="00A73C96">
        <w:t xml:space="preserve">2023 </w:t>
      </w:r>
      <w:r>
        <w:t xml:space="preserve">– </w:t>
      </w:r>
      <w:r w:rsidR="00362A24">
        <w:t>03</w:t>
      </w:r>
      <w:r>
        <w:t>/</w:t>
      </w:r>
      <w:r w:rsidR="00362A24">
        <w:t>09</w:t>
      </w:r>
      <w:r>
        <w:t>/</w:t>
      </w:r>
      <w:r w:rsidR="00C347EF">
        <w:t>2029</w:t>
      </w:r>
      <w:r>
        <w:tab/>
      </w:r>
      <w:r>
        <w:tab/>
        <w:t xml:space="preserve"> </w:t>
      </w:r>
    </w:p>
    <w:p w14:paraId="15C3C170" w14:textId="7E08D76C" w:rsidR="00E908B0" w:rsidRDefault="00E908B0" w:rsidP="00E908B0">
      <w:pPr>
        <w:pStyle w:val="ListParagraph"/>
        <w:numPr>
          <w:ilvl w:val="0"/>
          <w:numId w:val="5"/>
        </w:numPr>
      </w:pPr>
      <w:r>
        <w:t xml:space="preserve">Dirk Deroost </w:t>
      </w:r>
      <w:r>
        <w:tab/>
      </w:r>
      <w:r>
        <w:tab/>
      </w:r>
      <w:r w:rsidR="00491B4E">
        <w:tab/>
      </w:r>
      <w:r w:rsidR="00C347EF">
        <w:t>21</w:t>
      </w:r>
      <w:r>
        <w:t>/</w:t>
      </w:r>
      <w:r w:rsidR="00C347EF">
        <w:t>12</w:t>
      </w:r>
      <w:r>
        <w:t>/</w:t>
      </w:r>
      <w:r w:rsidR="00C347EF">
        <w:t xml:space="preserve">2023 </w:t>
      </w:r>
      <w:r>
        <w:t xml:space="preserve">– </w:t>
      </w:r>
      <w:r w:rsidR="00362A24">
        <w:t>03</w:t>
      </w:r>
      <w:r>
        <w:t>/</w:t>
      </w:r>
      <w:r w:rsidR="00362A24">
        <w:t>09</w:t>
      </w:r>
      <w:r>
        <w:t>/</w:t>
      </w:r>
      <w:r w:rsidR="00C347EF">
        <w:t>2029</w:t>
      </w:r>
    </w:p>
    <w:p w14:paraId="1BF56A14" w14:textId="77777777" w:rsidR="00D56F71" w:rsidRDefault="00D56F71" w:rsidP="00D56F71">
      <w:pPr>
        <w:pStyle w:val="ListParagraph"/>
      </w:pPr>
    </w:p>
    <w:p w14:paraId="7D8558F6" w14:textId="77777777" w:rsidR="001B1CFA" w:rsidRDefault="00050B97" w:rsidP="00257296">
      <w:pPr>
        <w:pStyle w:val="Style4"/>
      </w:pPr>
      <w:bookmarkStart w:id="44" w:name="_Toc1575398"/>
      <w:r>
        <w:lastRenderedPageBreak/>
        <w:t>T</w:t>
      </w:r>
      <w:r w:rsidR="001B1CFA">
        <w:t xml:space="preserve">otaalbedrag van de bezoldigingen aan leden van de raad van bestuur van </w:t>
      </w:r>
      <w:r w:rsidR="00727096">
        <w:t xml:space="preserve">De </w:t>
      </w:r>
      <w:bookmarkEnd w:id="44"/>
      <w:r w:rsidR="00E44785">
        <w:t>Cronos Groep NV</w:t>
      </w:r>
    </w:p>
    <w:p w14:paraId="4D47ECAC" w14:textId="2FF2CA20" w:rsidR="00D56F71" w:rsidRDefault="001B1CFA" w:rsidP="001B1CFA">
      <w:r>
        <w:t xml:space="preserve">De leden van de raad van bestuur ontvingen in </w:t>
      </w:r>
      <w:r w:rsidR="002919DD">
        <w:t>202</w:t>
      </w:r>
      <w:r w:rsidR="00362A24">
        <w:t>4</w:t>
      </w:r>
      <w:r w:rsidR="002919DD">
        <w:t xml:space="preserve"> </w:t>
      </w:r>
      <w:r w:rsidR="00A47A2A">
        <w:t xml:space="preserve">een </w:t>
      </w:r>
      <w:r>
        <w:t>total</w:t>
      </w:r>
      <w:r w:rsidR="00A47A2A">
        <w:t>e</w:t>
      </w:r>
      <w:r>
        <w:t xml:space="preserve"> bezoldiging van € </w:t>
      </w:r>
      <w:r w:rsidR="008F173D">
        <w:t>600</w:t>
      </w:r>
      <w:r>
        <w:t>.000</w:t>
      </w:r>
      <w:r w:rsidR="00050B97">
        <w:t xml:space="preserve">. </w:t>
      </w:r>
      <w:r w:rsidR="002A7E1E" w:rsidRPr="00CE6F35">
        <w:t>Er zijn geen voorzieningen voor pensioenen aangelegd voor de leden van de raad van bestuur.</w:t>
      </w:r>
    </w:p>
    <w:p w14:paraId="4502CBF7" w14:textId="77777777" w:rsidR="008B4180" w:rsidRDefault="008B4180" w:rsidP="001B1CFA"/>
    <w:p w14:paraId="0A5C17EE" w14:textId="77777777" w:rsidR="00344F1A" w:rsidRDefault="00727096" w:rsidP="00257296">
      <w:pPr>
        <w:pStyle w:val="Style4"/>
      </w:pPr>
      <w:bookmarkStart w:id="45" w:name="_Toc1575399"/>
      <w:r>
        <w:t>Vermelding van veroordelingen als bedoeld in Art. 20 van de wet van 25 april 2014</w:t>
      </w:r>
      <w:bookmarkEnd w:id="45"/>
    </w:p>
    <w:p w14:paraId="0A0EA9F4" w14:textId="7718DA8B" w:rsidR="003E6E7F" w:rsidRDefault="003E6E7F" w:rsidP="00727096">
      <w:r>
        <w:t>Er is voor de personen die meer dan 5% van het kapitaal van De Cronos Groep NV bezitten en voor andere verbonden partijen geen veroordeling te vermelden als bedoeld in artikel 20 van de wet van 25 april 2014 op het statuut van en het toezicht op kredietinstellingen en beursvennootschappen.</w:t>
      </w:r>
    </w:p>
    <w:p w14:paraId="0F84F2D8" w14:textId="77777777" w:rsidR="00D56F71" w:rsidRDefault="00D56F71" w:rsidP="00727096"/>
    <w:p w14:paraId="1DFA372E" w14:textId="77777777" w:rsidR="009A79BE" w:rsidRPr="00CE6F35" w:rsidRDefault="00727096" w:rsidP="009A79BE">
      <w:pPr>
        <w:pStyle w:val="Style4"/>
      </w:pPr>
      <w:bookmarkStart w:id="46" w:name="_Toc1575400"/>
      <w:r w:rsidRPr="00CE6F35">
        <w:t xml:space="preserve">Belangenconflicten tussen De </w:t>
      </w:r>
      <w:r w:rsidR="00E44785" w:rsidRPr="00CE6F35">
        <w:t>Cronos Groep NV</w:t>
      </w:r>
      <w:r w:rsidRPr="00CE6F35">
        <w:t xml:space="preserve"> en haar bestuurders en/of belangrijkste aandeelhouders</w:t>
      </w:r>
      <w:bookmarkEnd w:id="46"/>
    </w:p>
    <w:p w14:paraId="5BCEC3B4" w14:textId="2C226FFE" w:rsidR="00D56F71" w:rsidRPr="005C12C1" w:rsidRDefault="00D56F71" w:rsidP="00D56F71">
      <w:pPr>
        <w:jc w:val="both"/>
      </w:pPr>
      <w:bookmarkStart w:id="47" w:name="_Hlk123890736"/>
      <w:r w:rsidRPr="005C12C1">
        <w:t xml:space="preserve">Volgens artikel 7:96 WVV. moet een lid van de Raad van Bestuur die, rechtstreeks of onrechtstreeks, een belang van vermogensrechtelijke aard heeft dat strijdig is met een beslissing of een verrichting die tot de bevoegdheid behoort van de Raad van Bestuur, dit mededelen aan de andere bestuurders vóór de Raad van Bestuur een besluit neemt. </w:t>
      </w:r>
      <w:r w:rsidR="0016471C" w:rsidRPr="005C12C1">
        <w:t>Als</w:t>
      </w:r>
      <w:r w:rsidRPr="005C12C1">
        <w:t xml:space="preserve"> een dergelijk belangenconflict voorkomt, wordt het bovenstaande wetsartikel nageleefd. </w:t>
      </w:r>
      <w:r w:rsidR="0058031D" w:rsidRPr="005C12C1">
        <w:t>In 202</w:t>
      </w:r>
      <w:r w:rsidR="00E44FF0">
        <w:t>3</w:t>
      </w:r>
      <w:r w:rsidR="008F173D">
        <w:t>,</w:t>
      </w:r>
      <w:r>
        <w:t xml:space="preserve"> 202</w:t>
      </w:r>
      <w:r w:rsidR="00E44FF0">
        <w:t>4</w:t>
      </w:r>
      <w:r w:rsidR="008F173D">
        <w:t xml:space="preserve"> en 202</w:t>
      </w:r>
      <w:r w:rsidR="00E44FF0">
        <w:t>5</w:t>
      </w:r>
      <w:r>
        <w:t xml:space="preserve"> (tot op datum van publicatie van deze informatienota) </w:t>
      </w:r>
      <w:r w:rsidRPr="005C12C1">
        <w:t>hebben zich geen dergelijke belangenconflicten voorgedaan.</w:t>
      </w:r>
    </w:p>
    <w:bookmarkEnd w:id="47"/>
    <w:p w14:paraId="313A1D28" w14:textId="77777777" w:rsidR="00D56F71" w:rsidRPr="00CE6F35" w:rsidRDefault="00D56F71" w:rsidP="00CE6F35">
      <w:pPr>
        <w:spacing w:before="120" w:after="120"/>
        <w:rPr>
          <w:color w:val="000000" w:themeColor="text1"/>
        </w:rPr>
      </w:pPr>
    </w:p>
    <w:p w14:paraId="7E4F8FCB" w14:textId="77777777" w:rsidR="007505F8" w:rsidRDefault="007505F8" w:rsidP="00257296">
      <w:pPr>
        <w:pStyle w:val="Style4"/>
      </w:pPr>
      <w:bookmarkStart w:id="48" w:name="_Toc1575401"/>
      <w:r>
        <w:t>Commissaris</w:t>
      </w:r>
      <w:bookmarkEnd w:id="48"/>
    </w:p>
    <w:p w14:paraId="67CFD182" w14:textId="44DB22C1" w:rsidR="0016471C" w:rsidRPr="005C12C1" w:rsidRDefault="0016471C" w:rsidP="0016471C">
      <w:pPr>
        <w:jc w:val="both"/>
      </w:pPr>
      <w:bookmarkStart w:id="49" w:name="_Hlk123890781"/>
      <w:r w:rsidRPr="005C12C1">
        <w:t>De met de wettelijke controle belaste accountant is onze commissaris, KPMG Bedrijfsrevisoren CVBA, met maatschappelijke zetel te Luchthaven Brussel Nationaal 1K, 1930 Zaventem, ingeschreven in het rechtspersonenregister te Brussel onder nummer 0419.122.548, met lidmaatschapsnummer IBR B00001 en vertegenwoordigd door Tim Vermeiren, bedrijfsrevisor (lidmaatschapsnummer A02567).</w:t>
      </w:r>
    </w:p>
    <w:bookmarkEnd w:id="49"/>
    <w:p w14:paraId="0982B89E" w14:textId="77777777" w:rsidR="00D56F71" w:rsidRDefault="00D56F71" w:rsidP="007505F8"/>
    <w:p w14:paraId="029927FF" w14:textId="77777777" w:rsidR="007505F8" w:rsidRPr="00193192" w:rsidRDefault="007505F8" w:rsidP="00257296">
      <w:pPr>
        <w:pStyle w:val="Style2"/>
      </w:pPr>
      <w:bookmarkStart w:id="50" w:name="_Toc1575402"/>
      <w:bookmarkStart w:id="51" w:name="_Toc1734422"/>
      <w:r w:rsidRPr="00193192">
        <w:t xml:space="preserve">Financiële informatie over </w:t>
      </w:r>
      <w:r w:rsidR="004C2452">
        <w:t xml:space="preserve">De Cronos Groep NV </w:t>
      </w:r>
      <w:bookmarkEnd w:id="50"/>
      <w:bookmarkEnd w:id="51"/>
    </w:p>
    <w:p w14:paraId="48A00E72" w14:textId="77777777" w:rsidR="000366FB" w:rsidRDefault="007505F8" w:rsidP="00257296">
      <w:pPr>
        <w:pStyle w:val="Style3"/>
      </w:pPr>
      <w:bookmarkStart w:id="52" w:name="_Toc1575403"/>
      <w:r>
        <w:t>Jaarrekeningen</w:t>
      </w:r>
      <w:bookmarkEnd w:id="52"/>
    </w:p>
    <w:p w14:paraId="7D1DC942" w14:textId="0EBED0F9" w:rsidR="0016471C" w:rsidRDefault="00392563" w:rsidP="0016471C">
      <w:r>
        <w:t xml:space="preserve">De geconsolideerde </w:t>
      </w:r>
      <w:r w:rsidR="007505F8">
        <w:t xml:space="preserve">jaarrekeningen van </w:t>
      </w:r>
      <w:r>
        <w:t>De Cronos Groep</w:t>
      </w:r>
      <w:r w:rsidR="004C2452">
        <w:t xml:space="preserve"> NV</w:t>
      </w:r>
      <w:r>
        <w:t xml:space="preserve"> die in bijlage</w:t>
      </w:r>
      <w:r w:rsidR="0016471C">
        <w:t xml:space="preserve"> </w:t>
      </w:r>
      <w:r w:rsidR="008F173D">
        <w:t>1</w:t>
      </w:r>
      <w:r w:rsidR="0016471C">
        <w:t xml:space="preserve"> en </w:t>
      </w:r>
      <w:r w:rsidR="008F173D">
        <w:t>2</w:t>
      </w:r>
      <w:r w:rsidR="007505F8">
        <w:t xml:space="preserve"> werden toegevoegd</w:t>
      </w:r>
      <w:bookmarkStart w:id="53" w:name="_Hlk123890838"/>
      <w:r w:rsidR="0016471C">
        <w:t xml:space="preserve"> </w:t>
      </w:r>
      <w:r w:rsidR="0016471C" w:rsidRPr="005C12C1">
        <w:t xml:space="preserve">werden geauditeerd door onze commissaris. </w:t>
      </w:r>
    </w:p>
    <w:p w14:paraId="68413166" w14:textId="5CD7085F" w:rsidR="00AB57D8" w:rsidRPr="005C12C1" w:rsidRDefault="00AB57D8" w:rsidP="0016471C">
      <w:r>
        <w:t>De enkelvoudige jaarrekening</w:t>
      </w:r>
      <w:r w:rsidR="002F18C6">
        <w:t>en van Empart BV die in bijlage 3 en 4 werden toegevoegd werden niet geauditeerd door onze commissaris.</w:t>
      </w:r>
    </w:p>
    <w:p w14:paraId="0694979A" w14:textId="26B397F6" w:rsidR="0016471C" w:rsidRPr="005C12C1" w:rsidRDefault="0016471C" w:rsidP="0016471C">
      <w:pPr>
        <w:jc w:val="both"/>
      </w:pPr>
      <w:r w:rsidRPr="005C12C1">
        <w:t xml:space="preserve">De afsluitdatum van het boekjaar van </w:t>
      </w:r>
      <w:r>
        <w:t>De Cronos Groep</w:t>
      </w:r>
      <w:r w:rsidR="0058031D">
        <w:t xml:space="preserve"> NV</w:t>
      </w:r>
      <w:r w:rsidRPr="005C12C1">
        <w:t xml:space="preserve"> werd, in overeenstemming met Art. 3:109 en 3:110 van het Koninklijk Besluit tot uitvoering van het WVV (“KB WVV”), niet weerhouden als datum van de geconsolideerde afsluiting omdat zo goed als alle dochterondernemingen van </w:t>
      </w:r>
      <w:r w:rsidR="00A3455E">
        <w:t>D</w:t>
      </w:r>
      <w:r w:rsidRPr="005C12C1">
        <w:t xml:space="preserve">e </w:t>
      </w:r>
      <w:r w:rsidR="00A3455E">
        <w:t xml:space="preserve">Cronos Groep NV </w:t>
      </w:r>
      <w:r w:rsidRPr="005C12C1">
        <w:t xml:space="preserve">afsluiten op 31 december. De cijfers die in de geconsolideerde jaarrekening van </w:t>
      </w:r>
      <w:r>
        <w:t>De Cronos Groep</w:t>
      </w:r>
      <w:r w:rsidRPr="005C12C1">
        <w:t xml:space="preserve"> </w:t>
      </w:r>
      <w:r w:rsidR="00A3455E">
        <w:t xml:space="preserve">NV </w:t>
      </w:r>
      <w:r w:rsidRPr="005C12C1">
        <w:t>werden opgenomen zijn de cijfers per 31 december.</w:t>
      </w:r>
      <w:bookmarkEnd w:id="53"/>
      <w:r w:rsidRPr="005C12C1">
        <w:t xml:space="preserve"> </w:t>
      </w:r>
    </w:p>
    <w:p w14:paraId="60D8494D" w14:textId="77777777" w:rsidR="00D56F71" w:rsidRDefault="00D56F71" w:rsidP="007505F8"/>
    <w:p w14:paraId="468F0F14" w14:textId="77777777" w:rsidR="008B4180" w:rsidRDefault="008B4180" w:rsidP="007505F8"/>
    <w:p w14:paraId="0643D062" w14:textId="77777777" w:rsidR="007505F8" w:rsidRDefault="007505F8" w:rsidP="00257296">
      <w:pPr>
        <w:pStyle w:val="Style3"/>
      </w:pPr>
      <w:bookmarkStart w:id="54" w:name="_Toc1575404"/>
      <w:r>
        <w:t>Werkkapitaal</w:t>
      </w:r>
      <w:bookmarkEnd w:id="54"/>
      <w:r>
        <w:tab/>
      </w:r>
    </w:p>
    <w:p w14:paraId="729DE36A" w14:textId="7ACB10C0" w:rsidR="007505F8" w:rsidRDefault="00392563" w:rsidP="007505F8">
      <w:r>
        <w:t xml:space="preserve">De </w:t>
      </w:r>
      <w:r w:rsidR="00E44785">
        <w:t>Cronos Groep NV</w:t>
      </w:r>
      <w:r>
        <w:t xml:space="preserve"> beschikt over voldoende werkkapitaal om de behoeften voor de volgende twaalf maanden te voldoen. </w:t>
      </w:r>
      <w:r w:rsidR="007505F8">
        <w:t xml:space="preserve"> </w:t>
      </w:r>
    </w:p>
    <w:p w14:paraId="5B4E8EE8" w14:textId="77777777" w:rsidR="00D56F71" w:rsidRDefault="00D56F71" w:rsidP="007505F8"/>
    <w:p w14:paraId="2E2A52F8" w14:textId="12F51405" w:rsidR="007505F8" w:rsidRDefault="007505F8" w:rsidP="00257296">
      <w:pPr>
        <w:pStyle w:val="Style3"/>
      </w:pPr>
      <w:bookmarkStart w:id="55" w:name="_Toc1575405"/>
      <w:r>
        <w:t>Eigen vermogen en schuldenlast</w:t>
      </w:r>
      <w:bookmarkEnd w:id="55"/>
      <w:r>
        <w:t xml:space="preserve"> </w:t>
      </w:r>
    </w:p>
    <w:p w14:paraId="6D144686" w14:textId="6EDF242A" w:rsidR="00D56F71" w:rsidRDefault="00D56F71" w:rsidP="00D56F71">
      <w:pPr>
        <w:jc w:val="both"/>
      </w:pPr>
      <w:r w:rsidRPr="005C12C1">
        <w:t>Op afsluitdatum va</w:t>
      </w:r>
      <w:r>
        <w:t>n</w:t>
      </w:r>
      <w:r w:rsidRPr="005C12C1">
        <w:t xml:space="preserve"> de laatst neergelegde geconsolideerde jaarrekening (31.03.202</w:t>
      </w:r>
      <w:r w:rsidR="00E44FF0">
        <w:t>4</w:t>
      </w:r>
      <w:r w:rsidRPr="005C12C1">
        <w:t>) bestond het geconsolideerde eigen vermogen uit €</w:t>
      </w:r>
      <w:r>
        <w:t>9</w:t>
      </w:r>
      <w:r w:rsidR="00E44FF0">
        <w:t>2</w:t>
      </w:r>
      <w:r>
        <w:t>.</w:t>
      </w:r>
      <w:r w:rsidR="00E44FF0">
        <w:t>178</w:t>
      </w:r>
      <w:r w:rsidR="008F173D" w:rsidRPr="005C12C1">
        <w:t xml:space="preserve">k </w:t>
      </w:r>
      <w:r w:rsidRPr="005C12C1">
        <w:t>aandeel van de groep en €</w:t>
      </w:r>
      <w:r>
        <w:t>5</w:t>
      </w:r>
      <w:r w:rsidR="00E44FF0">
        <w:t>7</w:t>
      </w:r>
      <w:r w:rsidRPr="005C12C1">
        <w:t>.</w:t>
      </w:r>
      <w:r w:rsidR="00E44FF0">
        <w:t>975</w:t>
      </w:r>
      <w:r w:rsidR="008F173D" w:rsidRPr="005C12C1">
        <w:t xml:space="preserve">k </w:t>
      </w:r>
      <w:r w:rsidRPr="005C12C1">
        <w:t>belangen van derden. De financiële schuldenlast bedroeg €</w:t>
      </w:r>
      <w:r w:rsidR="00E44FF0">
        <w:t>92</w:t>
      </w:r>
      <w:r w:rsidR="008F173D">
        <w:t>.</w:t>
      </w:r>
      <w:r w:rsidR="00E44FF0">
        <w:t>889</w:t>
      </w:r>
      <w:r w:rsidRPr="005C12C1">
        <w:t>k.</w:t>
      </w:r>
    </w:p>
    <w:p w14:paraId="55163A6A" w14:textId="737D5575" w:rsidR="0016471C" w:rsidRPr="005C12C1" w:rsidRDefault="0016471C" w:rsidP="0016471C">
      <w:pPr>
        <w:jc w:val="both"/>
      </w:pPr>
      <w:r w:rsidRPr="00BC29E1">
        <w:t xml:space="preserve">Schuldenlast op geconsolideerd niveau van </w:t>
      </w:r>
      <w:r>
        <w:t>De Cronos Groep</w:t>
      </w:r>
      <w:r w:rsidRPr="00BC29E1">
        <w:t xml:space="preserve"> per 30.09.202</w:t>
      </w:r>
      <w:r w:rsidR="00E44FF0">
        <w:t>4</w:t>
      </w:r>
      <w:r w:rsidR="00461051">
        <w:t>.</w:t>
      </w:r>
    </w:p>
    <w:p w14:paraId="50CBDB16" w14:textId="0AC8AFCB" w:rsidR="0016471C" w:rsidRDefault="0016471C" w:rsidP="0016471C"/>
    <w:p w14:paraId="162ECCF0" w14:textId="6F541F37" w:rsidR="008F173D" w:rsidRPr="005C12C1" w:rsidRDefault="00E44FF0" w:rsidP="0016471C">
      <w:r w:rsidRPr="00CC4FE4">
        <w:rPr>
          <w:noProof/>
        </w:rPr>
        <w:drawing>
          <wp:inline distT="0" distB="0" distL="0" distR="0" wp14:anchorId="093E640A" wp14:editId="39908C34">
            <wp:extent cx="5315223" cy="1606633"/>
            <wp:effectExtent l="0" t="0" r="0" b="0"/>
            <wp:docPr id="96794394" name="Picture 1" descr="A rectangular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4394" name="Picture 1" descr="A rectangular white rectangular object with black text&#10;&#10;Description automatically generated"/>
                    <pic:cNvPicPr/>
                  </pic:nvPicPr>
                  <pic:blipFill>
                    <a:blip r:embed="rId9"/>
                    <a:stretch>
                      <a:fillRect/>
                    </a:stretch>
                  </pic:blipFill>
                  <pic:spPr>
                    <a:xfrm>
                      <a:off x="0" y="0"/>
                      <a:ext cx="5315223" cy="1606633"/>
                    </a:xfrm>
                    <a:prstGeom prst="rect">
                      <a:avLst/>
                    </a:prstGeom>
                  </pic:spPr>
                </pic:pic>
              </a:graphicData>
            </a:graphic>
          </wp:inline>
        </w:drawing>
      </w:r>
    </w:p>
    <w:p w14:paraId="13F642AA" w14:textId="77777777" w:rsidR="00D56F71" w:rsidRDefault="00D56F71" w:rsidP="00D56F71">
      <w:pPr>
        <w:pStyle w:val="Style3"/>
        <w:numPr>
          <w:ilvl w:val="0"/>
          <w:numId w:val="0"/>
        </w:numPr>
        <w:ind w:left="1800"/>
      </w:pPr>
    </w:p>
    <w:p w14:paraId="115C007D" w14:textId="04A65BA7" w:rsidR="007505F8" w:rsidRDefault="007505F8">
      <w:pPr>
        <w:pStyle w:val="Style3"/>
      </w:pPr>
      <w:bookmarkStart w:id="56" w:name="_Toc1575406"/>
      <w:r>
        <w:t>Wijziging in de financiële positie na afsluitdatum van het laatst neergelegde boekjaar.</w:t>
      </w:r>
      <w:bookmarkEnd w:id="56"/>
    </w:p>
    <w:p w14:paraId="35386470" w14:textId="786D81BB" w:rsidR="0082463D" w:rsidRPr="005C12C1" w:rsidRDefault="0082463D" w:rsidP="0082463D">
      <w:pPr>
        <w:jc w:val="both"/>
      </w:pPr>
      <w:r w:rsidRPr="005C12C1">
        <w:t xml:space="preserve">Na afsluiting van de laatst neergelegde jaarrekening </w:t>
      </w:r>
      <w:r>
        <w:t xml:space="preserve">heeft </w:t>
      </w:r>
      <w:r w:rsidR="00284966">
        <w:t>d</w:t>
      </w:r>
      <w:r>
        <w:t xml:space="preserve">e Cronos </w:t>
      </w:r>
      <w:r w:rsidR="00284966">
        <w:t>gr</w:t>
      </w:r>
      <w:r>
        <w:t>oep</w:t>
      </w:r>
      <w:r w:rsidRPr="005C12C1">
        <w:t xml:space="preserve"> </w:t>
      </w:r>
      <w:r w:rsidR="00392652">
        <w:t>twee</w:t>
      </w:r>
      <w:r w:rsidRPr="005C12C1">
        <w:t xml:space="preserve"> nieuwe achtergestelde obligatielening</w:t>
      </w:r>
      <w:r w:rsidR="00392652">
        <w:t>en</w:t>
      </w:r>
      <w:r w:rsidRPr="005C12C1">
        <w:t xml:space="preserve"> uitgegeven voor €</w:t>
      </w:r>
      <w:r>
        <w:t>2</w:t>
      </w:r>
      <w:r w:rsidRPr="005C12C1">
        <w:t>.</w:t>
      </w:r>
      <w:r>
        <w:t>5</w:t>
      </w:r>
      <w:r w:rsidRPr="005C12C1">
        <w:t>00.000</w:t>
      </w:r>
      <w:r w:rsidR="008B1DEA">
        <w:t>, in totaal dus voor € 5.000.000</w:t>
      </w:r>
      <w:r w:rsidRPr="005C12C1">
        <w:t xml:space="preserve">. </w:t>
      </w:r>
      <w:r w:rsidR="00284966">
        <w:t>d</w:t>
      </w:r>
      <w:r w:rsidRPr="005C12C1">
        <w:t xml:space="preserve">e </w:t>
      </w:r>
      <w:r>
        <w:t xml:space="preserve">Cronos </w:t>
      </w:r>
      <w:r w:rsidR="00284966">
        <w:t>g</w:t>
      </w:r>
      <w:r>
        <w:t>roep</w:t>
      </w:r>
      <w:r w:rsidRPr="005C12C1">
        <w:t xml:space="preserve"> heeft </w:t>
      </w:r>
      <w:r>
        <w:t xml:space="preserve">ook </w:t>
      </w:r>
      <w:r w:rsidRPr="005C12C1">
        <w:t>voor</w:t>
      </w:r>
      <w:r>
        <w:t xml:space="preserve"> </w:t>
      </w:r>
      <w:r w:rsidRPr="005C12C1">
        <w:t>€</w:t>
      </w:r>
      <w:r w:rsidR="001D24CD">
        <w:t>9</w:t>
      </w:r>
      <w:r w:rsidR="008F173D">
        <w:t>.</w:t>
      </w:r>
      <w:r w:rsidR="001D24CD">
        <w:t>239</w:t>
      </w:r>
      <w:r w:rsidR="008F173D">
        <w:t>.000</w:t>
      </w:r>
      <w:r w:rsidRPr="005C12C1">
        <w:t xml:space="preserve"> bijkomende financieringen aangetrokken </w:t>
      </w:r>
      <w:r>
        <w:t>ter financiering van verworven vaste activa</w:t>
      </w:r>
      <w:r w:rsidRPr="005C12C1">
        <w:t xml:space="preserve">. Verder heeft </w:t>
      </w:r>
      <w:r w:rsidR="00284966">
        <w:t>d</w:t>
      </w:r>
      <w:r>
        <w:t xml:space="preserve">e Cronos </w:t>
      </w:r>
      <w:r w:rsidR="00284966">
        <w:t>g</w:t>
      </w:r>
      <w:r>
        <w:t>roep</w:t>
      </w:r>
      <w:r w:rsidRPr="005C12C1">
        <w:t xml:space="preserve"> haar kortlopende kredieten afgelost en hernieuwd volgens de normale behoeften van de groep. Het niveau van de schuldenlast per 3</w:t>
      </w:r>
      <w:r>
        <w:t>0</w:t>
      </w:r>
      <w:r w:rsidRPr="005C12C1">
        <w:t>.0</w:t>
      </w:r>
      <w:r>
        <w:t>9</w:t>
      </w:r>
      <w:r w:rsidRPr="005C12C1">
        <w:t>.202</w:t>
      </w:r>
      <w:r w:rsidR="001D24CD">
        <w:t>4</w:t>
      </w:r>
      <w:r w:rsidRPr="005C12C1">
        <w:t xml:space="preserve"> is in voorgaand punt toegelicht. </w:t>
      </w:r>
    </w:p>
    <w:p w14:paraId="11487A5A" w14:textId="77777777" w:rsidR="0082463D" w:rsidRDefault="0082463D" w:rsidP="007505F8"/>
    <w:p w14:paraId="76D3FC48" w14:textId="21D55C73" w:rsidR="003B17D1" w:rsidRDefault="003B17D1" w:rsidP="007505F8">
      <w:r>
        <w:t xml:space="preserve"> </w:t>
      </w:r>
    </w:p>
    <w:p w14:paraId="0479358F" w14:textId="77777777" w:rsidR="008118D8" w:rsidRPr="00193192" w:rsidRDefault="00614B9A" w:rsidP="00257296">
      <w:pPr>
        <w:pStyle w:val="Style1"/>
      </w:pPr>
      <w:bookmarkStart w:id="57" w:name="_Toc1575407"/>
      <w:bookmarkStart w:id="58" w:name="_Toc1734423"/>
      <w:r w:rsidRPr="00193192">
        <w:t>Informatie over de aanbieding van beleggingsinstrumenten</w:t>
      </w:r>
      <w:bookmarkEnd w:id="57"/>
      <w:bookmarkEnd w:id="58"/>
    </w:p>
    <w:p w14:paraId="39085A69" w14:textId="77777777" w:rsidR="00614B9A" w:rsidRPr="00193192" w:rsidRDefault="00614B9A" w:rsidP="00257296">
      <w:pPr>
        <w:pStyle w:val="Style2"/>
      </w:pPr>
      <w:bookmarkStart w:id="59" w:name="_Toc1575408"/>
      <w:bookmarkStart w:id="60" w:name="_Toc1734424"/>
      <w:r w:rsidRPr="00193192">
        <w:t>Beschrijving van de aanbieding</w:t>
      </w:r>
      <w:bookmarkEnd w:id="59"/>
      <w:bookmarkEnd w:id="60"/>
    </w:p>
    <w:p w14:paraId="10812F1C" w14:textId="77777777" w:rsidR="00614B9A" w:rsidRDefault="004053F8" w:rsidP="00257296">
      <w:pPr>
        <w:pStyle w:val="Style3"/>
      </w:pPr>
      <w:bookmarkStart w:id="61" w:name="_Toc1575409"/>
      <w:r>
        <w:t>Maximumbedrag van de aanbieding</w:t>
      </w:r>
      <w:bookmarkEnd w:id="61"/>
      <w:r>
        <w:t xml:space="preserve"> </w:t>
      </w:r>
    </w:p>
    <w:p w14:paraId="46F90B28" w14:textId="030E6EA4" w:rsidR="004053F8" w:rsidRDefault="004053F8" w:rsidP="004053F8">
      <w:r>
        <w:t xml:space="preserve">Het maximumbedrag van de aanbieding is vastgelegd op € </w:t>
      </w:r>
      <w:r w:rsidR="00992702">
        <w:t>2</w:t>
      </w:r>
      <w:r w:rsidR="00CC45B8">
        <w:t>.0</w:t>
      </w:r>
      <w:r>
        <w:t>00.000</w:t>
      </w:r>
      <w:r w:rsidR="00774B9E">
        <w:t>. In geval van overinschrijving zullen de aandelen worden toegekend via het systeem van “first come first serve”.</w:t>
      </w:r>
    </w:p>
    <w:p w14:paraId="11A26015" w14:textId="77777777" w:rsidR="00564751" w:rsidRDefault="00564751" w:rsidP="004053F8"/>
    <w:p w14:paraId="214C0124" w14:textId="77777777" w:rsidR="00992702" w:rsidRDefault="00992702" w:rsidP="004053F8"/>
    <w:p w14:paraId="5B2DCA08" w14:textId="77777777" w:rsidR="004053F8" w:rsidRDefault="004053F8" w:rsidP="00257296">
      <w:pPr>
        <w:pStyle w:val="Style3"/>
      </w:pPr>
      <w:bookmarkStart w:id="62" w:name="_Toc1575410"/>
      <w:r>
        <w:lastRenderedPageBreak/>
        <w:t>Voorwaarden voor de aanbieding</w:t>
      </w:r>
      <w:bookmarkEnd w:id="62"/>
      <w:r>
        <w:t xml:space="preserve"> </w:t>
      </w:r>
    </w:p>
    <w:p w14:paraId="06AC8035" w14:textId="77777777" w:rsidR="004053F8" w:rsidRDefault="004C2452" w:rsidP="00257296">
      <w:pPr>
        <w:pStyle w:val="Style4"/>
      </w:pPr>
      <w:bookmarkStart w:id="63" w:name="_Toc1575411"/>
      <w:r>
        <w:t>B</w:t>
      </w:r>
      <w:r w:rsidR="004053F8">
        <w:t>eperkingen</w:t>
      </w:r>
      <w:bookmarkEnd w:id="63"/>
    </w:p>
    <w:p w14:paraId="22BF28EE" w14:textId="3B9AD51C" w:rsidR="004053F8" w:rsidRDefault="004053F8" w:rsidP="004053F8">
      <w:r>
        <w:t xml:space="preserve">De aanbieding staat open voor werknemers en medewerkers van </w:t>
      </w:r>
      <w:r w:rsidR="00284966">
        <w:t>d</w:t>
      </w:r>
      <w:r>
        <w:t xml:space="preserve">e Cronos </w:t>
      </w:r>
      <w:r w:rsidR="00284966">
        <w:t>g</w:t>
      </w:r>
      <w:r>
        <w:t>roep</w:t>
      </w:r>
      <w:r w:rsidR="00774B9E">
        <w:t>. Intekenen op de aanbieding kan zowel vanuit een natuurlijke persoon als een rechtspersoon.</w:t>
      </w:r>
      <w:r>
        <w:t xml:space="preserve"> </w:t>
      </w:r>
      <w:r w:rsidR="000366FB">
        <w:t>Iedere kandidaat</w:t>
      </w:r>
      <w:r w:rsidR="0055313D">
        <w:t>-</w:t>
      </w:r>
      <w:r w:rsidR="000366FB">
        <w:t xml:space="preserve"> aandeelhouder moet door de raad van bestuur als aandeelhouder worden aanvaard. </w:t>
      </w:r>
    </w:p>
    <w:p w14:paraId="3DCFCEE3" w14:textId="77777777" w:rsidR="00564751" w:rsidRDefault="00564751" w:rsidP="004053F8"/>
    <w:p w14:paraId="1A91E45E" w14:textId="77777777" w:rsidR="001B7D50" w:rsidRDefault="001B7D50" w:rsidP="00257296">
      <w:pPr>
        <w:pStyle w:val="Style4"/>
      </w:pPr>
      <w:bookmarkStart w:id="64" w:name="_Toc1575412"/>
      <w:r>
        <w:t>Totaalprijs van de aandelen</w:t>
      </w:r>
      <w:bookmarkEnd w:id="64"/>
      <w:r>
        <w:t xml:space="preserve"> </w:t>
      </w:r>
    </w:p>
    <w:p w14:paraId="69F29C93" w14:textId="5CF764DA" w:rsidR="001B7D50" w:rsidRDefault="001B7D50" w:rsidP="001B7D50">
      <w:r>
        <w:t xml:space="preserve">De waarde waartegen </w:t>
      </w:r>
      <w:r w:rsidR="001D24CD">
        <w:t xml:space="preserve">bestaande of </w:t>
      </w:r>
      <w:r>
        <w:t xml:space="preserve">nieuwe aandelen </w:t>
      </w:r>
      <w:r w:rsidR="005B0CFA">
        <w:t>aangeboden</w:t>
      </w:r>
      <w:r>
        <w:t xml:space="preserve"> zullen worden is op de laatste algemene vergadering vastgelegd op € </w:t>
      </w:r>
      <w:r w:rsidR="0082463D">
        <w:t>320</w:t>
      </w:r>
      <w:r>
        <w:t xml:space="preserve"> per aandeel. Per nieuw uitgegeven</w:t>
      </w:r>
      <w:r w:rsidR="00940AD0">
        <w:t xml:space="preserve"> </w:t>
      </w:r>
      <w:r>
        <w:t xml:space="preserve">aandeel zal er € </w:t>
      </w:r>
      <w:r w:rsidR="008F173D">
        <w:t xml:space="preserve">320 </w:t>
      </w:r>
      <w:r>
        <w:t xml:space="preserve">worden toegevoegd aan het </w:t>
      </w:r>
      <w:r w:rsidR="00CE74AD">
        <w:t>vermogen</w:t>
      </w:r>
      <w:r>
        <w:t xml:space="preserve"> van de </w:t>
      </w:r>
      <w:r w:rsidR="00856BB7">
        <w:t>Maatschap</w:t>
      </w:r>
      <w:r w:rsidR="00940AD0">
        <w:t>.</w:t>
      </w:r>
    </w:p>
    <w:p w14:paraId="04F23AED" w14:textId="77777777" w:rsidR="00564751" w:rsidRDefault="00564751" w:rsidP="001B7D50"/>
    <w:p w14:paraId="1B6D969C" w14:textId="77777777" w:rsidR="004053F8" w:rsidRDefault="00774B9E" w:rsidP="00257296">
      <w:pPr>
        <w:pStyle w:val="Style4"/>
      </w:pPr>
      <w:bookmarkStart w:id="65" w:name="_Toc1575413"/>
      <w:r>
        <w:t>Minimum –en of maximumbedrag van de inschrijving</w:t>
      </w:r>
      <w:bookmarkEnd w:id="65"/>
      <w:r>
        <w:t xml:space="preserve"> </w:t>
      </w:r>
    </w:p>
    <w:p w14:paraId="5637A507" w14:textId="4FCD032F" w:rsidR="00774B9E" w:rsidRPr="00856755" w:rsidRDefault="00774B9E" w:rsidP="00774B9E">
      <w:r w:rsidRPr="00856755">
        <w:t xml:space="preserve">Het minimumbedrag per inschrijver is € </w:t>
      </w:r>
      <w:r w:rsidR="0082463D" w:rsidRPr="00856755">
        <w:t>320</w:t>
      </w:r>
      <w:r w:rsidRPr="00856755">
        <w:t xml:space="preserve"> (1 aandeel). </w:t>
      </w:r>
    </w:p>
    <w:p w14:paraId="2FC2ECE3" w14:textId="2462A2B8" w:rsidR="00774B9E" w:rsidRDefault="00774B9E" w:rsidP="00774B9E">
      <w:r w:rsidRPr="00856755">
        <w:t xml:space="preserve">Het maximumbedrag per inschrijver is € </w:t>
      </w:r>
      <w:r w:rsidR="004055E0">
        <w:t>6</w:t>
      </w:r>
      <w:r w:rsidR="00FC6BDB">
        <w:t>4</w:t>
      </w:r>
      <w:r w:rsidR="008F173D" w:rsidRPr="00856755">
        <w:t>.000</w:t>
      </w:r>
      <w:r w:rsidR="00CC45B8" w:rsidRPr="00856755">
        <w:t xml:space="preserve"> </w:t>
      </w:r>
      <w:r w:rsidRPr="00856755">
        <w:t>(</w:t>
      </w:r>
      <w:r w:rsidR="00FC6BDB">
        <w:t>2</w:t>
      </w:r>
      <w:r w:rsidR="008F173D" w:rsidRPr="00856755">
        <w:t>00</w:t>
      </w:r>
      <w:r w:rsidR="00856755">
        <w:t xml:space="preserve"> </w:t>
      </w:r>
      <w:r w:rsidRPr="00856755">
        <w:t>aandelen).</w:t>
      </w:r>
      <w:r>
        <w:t xml:space="preserve"> </w:t>
      </w:r>
    </w:p>
    <w:p w14:paraId="64069728" w14:textId="32784509" w:rsidR="00774B9E" w:rsidRDefault="00774B9E" w:rsidP="00774B9E">
      <w:r>
        <w:t xml:space="preserve">Indien een kandidaat aandeelhouder zowel inschrijft als natuurlijk persoon als via een rechtspersoon, zal dit als 1 inschrijving beschouwd worden en geldt het maximumbedrag op het totaal van de individuele inschrijvingen. </w:t>
      </w:r>
    </w:p>
    <w:p w14:paraId="4AFD2D2F" w14:textId="77777777" w:rsidR="00564751" w:rsidRDefault="00564751" w:rsidP="00774B9E"/>
    <w:p w14:paraId="6BE1B970" w14:textId="77777777" w:rsidR="00774B9E" w:rsidRDefault="00774B9E" w:rsidP="00257296">
      <w:pPr>
        <w:pStyle w:val="Style4"/>
      </w:pPr>
      <w:bookmarkStart w:id="66" w:name="_Toc1575414"/>
      <w:r>
        <w:t>Inschrijvingsprocedure</w:t>
      </w:r>
      <w:bookmarkEnd w:id="66"/>
      <w:r>
        <w:t xml:space="preserve"> </w:t>
      </w:r>
    </w:p>
    <w:p w14:paraId="4D93EAB5" w14:textId="377FC3D9" w:rsidR="00774B9E" w:rsidRDefault="00774B9E" w:rsidP="00774B9E">
      <w:r>
        <w:t xml:space="preserve">Inschrijven kan via de portaalsite </w:t>
      </w:r>
      <w:hyperlink r:id="rId10" w:history="1">
        <w:r w:rsidR="00CC45B8" w:rsidRPr="004E4B96">
          <w:rPr>
            <w:rStyle w:val="Hyperlink"/>
          </w:rPr>
          <w:t>https://empart.cronos.be</w:t>
        </w:r>
      </w:hyperlink>
      <w:r w:rsidR="004C2452">
        <w:t>. H</w:t>
      </w:r>
      <w:r>
        <w:t>ier kan de kandidaat</w:t>
      </w:r>
      <w:r w:rsidR="00B00851">
        <w:t>-</w:t>
      </w:r>
      <w:r>
        <w:t xml:space="preserve">aandeelhouder inschrijven op het gewenste aantal aandelen van de </w:t>
      </w:r>
      <w:r w:rsidR="00856BB7">
        <w:t>Maatschap</w:t>
      </w:r>
      <w:r>
        <w:t xml:space="preserve">. </w:t>
      </w:r>
    </w:p>
    <w:p w14:paraId="3EA006AF" w14:textId="73587A06" w:rsidR="00774B9E" w:rsidRDefault="00774B9E" w:rsidP="00774B9E">
      <w:r>
        <w:t>Na afronden van de inschrijving zal de inschrijver per mail een intekenformulier ontvangen dat geteken</w:t>
      </w:r>
      <w:r w:rsidR="001B7D50">
        <w:t xml:space="preserve">d dient terugbezorgd te worden aan de </w:t>
      </w:r>
      <w:r w:rsidR="00856BB7">
        <w:t>Maatschap</w:t>
      </w:r>
      <w:r w:rsidR="001B7D50">
        <w:t xml:space="preserve">. </w:t>
      </w:r>
    </w:p>
    <w:p w14:paraId="1C2D34C1" w14:textId="77777777" w:rsidR="001B7D50" w:rsidRDefault="001B7D50" w:rsidP="00774B9E">
      <w:r>
        <w:t xml:space="preserve">In een tweede mail zullen de betalingsinstructies voor de inschrijving volgen. </w:t>
      </w:r>
    </w:p>
    <w:p w14:paraId="1F50CD5E" w14:textId="3B5D3080" w:rsidR="001D24CD" w:rsidRDefault="001B7D50" w:rsidP="001D24CD">
      <w:r>
        <w:t xml:space="preserve">Wanneer het getekende inschrijvingsformulier en de betaling ontvangen werden zal de vraag tot toetreding als aandeelhouder worden voorgelegd aan de raad van bestuur. </w:t>
      </w:r>
      <w:r w:rsidR="004A1287">
        <w:t>Als</w:t>
      </w:r>
      <w:r>
        <w:t xml:space="preserve"> d</w:t>
      </w:r>
      <w:r w:rsidR="004A1287">
        <w:t>ie</w:t>
      </w:r>
      <w:r>
        <w:t xml:space="preserve"> de aanvraag goedkeurt zullen de aandelen worden </w:t>
      </w:r>
      <w:r w:rsidR="001D24CD">
        <w:t xml:space="preserve">ingeschreven als </w:t>
      </w:r>
      <w:r w:rsidR="004E0F8C" w:rsidRPr="004E0F8C">
        <w:rPr>
          <w:b/>
          <w:bCs/>
        </w:rPr>
        <w:t>‘</w:t>
      </w:r>
      <w:r w:rsidR="001D24CD" w:rsidRPr="004E0F8C">
        <w:rPr>
          <w:b/>
          <w:bCs/>
        </w:rPr>
        <w:t>vraag</w:t>
      </w:r>
      <w:r w:rsidR="004E0F8C" w:rsidRPr="004E0F8C">
        <w:rPr>
          <w:b/>
          <w:bCs/>
        </w:rPr>
        <w:t>’</w:t>
      </w:r>
      <w:r w:rsidR="001D24CD">
        <w:t xml:space="preserve"> in het orderboek. </w:t>
      </w:r>
    </w:p>
    <w:p w14:paraId="1300A069" w14:textId="2AC592F1" w:rsidR="004E0F8C" w:rsidRPr="004E0F8C" w:rsidRDefault="004E0F8C" w:rsidP="001D24CD">
      <w:r>
        <w:t xml:space="preserve">Aandeelhouders die te kennen hebben gegeven hun aandelen te willen verkopen hebben de kans gekregen dit te doen voorafgaand aan deze uitgifte. Het totaal aantal aangeboden aandelen staat reeds ingeschreven als </w:t>
      </w:r>
      <w:r w:rsidRPr="004E0F8C">
        <w:rPr>
          <w:b/>
          <w:bCs/>
        </w:rPr>
        <w:t>‘aanbod’</w:t>
      </w:r>
      <w:r>
        <w:rPr>
          <w:b/>
          <w:bCs/>
        </w:rPr>
        <w:t xml:space="preserve"> </w:t>
      </w:r>
      <w:r>
        <w:t>in het orderboek.</w:t>
      </w:r>
    </w:p>
    <w:p w14:paraId="23650D6A" w14:textId="35179FC4" w:rsidR="001D24CD" w:rsidRDefault="001D24CD" w:rsidP="001D24CD">
      <w:r>
        <w:t xml:space="preserve">Vervolgens zal </w:t>
      </w:r>
      <w:r w:rsidR="004E0F8C">
        <w:t xml:space="preserve">de </w:t>
      </w:r>
      <w:r w:rsidR="004E0F8C" w:rsidRPr="004E0F8C">
        <w:t>vraag</w:t>
      </w:r>
      <w:r w:rsidR="004E0F8C">
        <w:rPr>
          <w:b/>
          <w:bCs/>
        </w:rPr>
        <w:t xml:space="preserve"> </w:t>
      </w:r>
      <w:r w:rsidR="004E0F8C">
        <w:t xml:space="preserve">met het </w:t>
      </w:r>
      <w:r w:rsidR="004E0F8C" w:rsidRPr="004E0F8C">
        <w:t>aanbod</w:t>
      </w:r>
      <w:r w:rsidR="004E0F8C">
        <w:t xml:space="preserve"> worden vergeleken.</w:t>
      </w:r>
      <w:r w:rsidR="004A1287">
        <w:t xml:space="preserve"> Als er </w:t>
      </w:r>
      <w:r w:rsidR="004E0F8C">
        <w:t>meer vraag is dan aanbod dan zal de maatschap met het opgehaalde kapitaal eerst de aangeboden aandelen kopen en vervolgens intekenen op een kapitaalverhoging van Empart II BV die met het opgehaalde kapitaal nieuwe aandelen in De Cronos Groep NV zal overnemen van Nuclys NV.</w:t>
      </w:r>
    </w:p>
    <w:p w14:paraId="7C62DF57" w14:textId="1DB209E8" w:rsidR="004E0F8C" w:rsidRDefault="004E0F8C" w:rsidP="001D24CD">
      <w:r>
        <w:t>Als de vraag kleiner is dan het aanbod dan zullen de aangeboden aandelen worden gekocht pro rata aan de verhouding vraag/aanbod.</w:t>
      </w:r>
    </w:p>
    <w:p w14:paraId="01F893B3" w14:textId="77777777" w:rsidR="004E0F8C" w:rsidRDefault="004E0F8C" w:rsidP="001D24CD"/>
    <w:p w14:paraId="72424393" w14:textId="77777777" w:rsidR="00614B9A" w:rsidRDefault="001B7D50" w:rsidP="00257296">
      <w:pPr>
        <w:pStyle w:val="Style4"/>
      </w:pPr>
      <w:bookmarkStart w:id="67" w:name="_Toc1575415"/>
      <w:r>
        <w:lastRenderedPageBreak/>
        <w:t>Tijdschema van de aanbieding</w:t>
      </w:r>
      <w:bookmarkEnd w:id="67"/>
      <w:r>
        <w:t xml:space="preserve"> </w:t>
      </w:r>
    </w:p>
    <w:p w14:paraId="73276066" w14:textId="42C71B45" w:rsidR="001B7D50" w:rsidRDefault="001B7D50" w:rsidP="001B7D50">
      <w:r>
        <w:t xml:space="preserve">De inschrijvingsperiode neemt aanvang op </w:t>
      </w:r>
      <w:r w:rsidR="004A1287">
        <w:t>2</w:t>
      </w:r>
      <w:r w:rsidR="00992702">
        <w:t>2</w:t>
      </w:r>
      <w:r w:rsidR="000E42DD">
        <w:t xml:space="preserve"> </w:t>
      </w:r>
      <w:r w:rsidR="004A1287">
        <w:t>april</w:t>
      </w:r>
      <w:r w:rsidR="000E42DD">
        <w:t xml:space="preserve"> </w:t>
      </w:r>
      <w:r w:rsidR="00AF4575">
        <w:t>202</w:t>
      </w:r>
      <w:r w:rsidR="004A1287">
        <w:t>5</w:t>
      </w:r>
      <w:r w:rsidR="00AF4575">
        <w:t xml:space="preserve"> </w:t>
      </w:r>
      <w:r>
        <w:t xml:space="preserve">en wordt afgesloten op </w:t>
      </w:r>
      <w:r w:rsidR="00992702">
        <w:t>30</w:t>
      </w:r>
      <w:r w:rsidR="00CC45B8">
        <w:t xml:space="preserve"> </w:t>
      </w:r>
      <w:r w:rsidR="004A1287">
        <w:t>april</w:t>
      </w:r>
      <w:r w:rsidR="000E42DD">
        <w:t xml:space="preserve"> </w:t>
      </w:r>
      <w:r w:rsidR="00AF4575">
        <w:t>202</w:t>
      </w:r>
      <w:r w:rsidR="004A1287">
        <w:t>5</w:t>
      </w:r>
      <w:r>
        <w:t xml:space="preserve">. Enkel inschrijvingen die tijdens deze periode werden ontvangen, worden in aanmerking genomen voor de toewijzing. </w:t>
      </w:r>
      <w:r w:rsidR="004C2452">
        <w:t xml:space="preserve">De </w:t>
      </w:r>
      <w:r w:rsidR="00856BB7">
        <w:t>Maatschap</w:t>
      </w:r>
      <w:r>
        <w:t xml:space="preserve"> behoudt het recht om de aanbieding op elk moment op te schorten of vervroegd te beëindigen.</w:t>
      </w:r>
    </w:p>
    <w:p w14:paraId="4E9A5C55" w14:textId="77777777" w:rsidR="00564751" w:rsidRDefault="00564751" w:rsidP="001B7D50"/>
    <w:p w14:paraId="48AA2EF4" w14:textId="77777777" w:rsidR="001B7D50" w:rsidRDefault="001B7D50" w:rsidP="00257296">
      <w:pPr>
        <w:pStyle w:val="Style4"/>
      </w:pPr>
      <w:bookmarkStart w:id="68" w:name="_Toc1575416"/>
      <w:r>
        <w:t>Kosten ten laste van de belegger</w:t>
      </w:r>
      <w:bookmarkEnd w:id="68"/>
      <w:r>
        <w:t xml:space="preserve"> </w:t>
      </w:r>
    </w:p>
    <w:p w14:paraId="43D810E5" w14:textId="3A64B487" w:rsidR="001B7D50" w:rsidRDefault="001B7D50" w:rsidP="001B7D50">
      <w:r>
        <w:t xml:space="preserve">Er zijn geen instap- of uitstapkosten voor de beleggers. </w:t>
      </w:r>
    </w:p>
    <w:p w14:paraId="446E6F11" w14:textId="77777777" w:rsidR="00564751" w:rsidRDefault="00564751" w:rsidP="001B7D50"/>
    <w:p w14:paraId="530CFB41" w14:textId="77777777" w:rsidR="001B7D50" w:rsidRPr="00193192" w:rsidRDefault="001B7D50" w:rsidP="00257296">
      <w:pPr>
        <w:pStyle w:val="Style2"/>
      </w:pPr>
      <w:bookmarkStart w:id="69" w:name="_Toc1575417"/>
      <w:bookmarkStart w:id="70" w:name="_Toc1734425"/>
      <w:r w:rsidRPr="00193192">
        <w:t>Redenen voor de aanbieding</w:t>
      </w:r>
      <w:bookmarkEnd w:id="69"/>
      <w:bookmarkEnd w:id="70"/>
      <w:r w:rsidRPr="00193192">
        <w:t xml:space="preserve"> </w:t>
      </w:r>
    </w:p>
    <w:p w14:paraId="7B8924B2" w14:textId="2EC6FA4F" w:rsidR="004A1287" w:rsidRDefault="001B7D50" w:rsidP="001B7D50">
      <w:r>
        <w:t xml:space="preserve">Binnen de drie maanden na afsluiten van deze aanbieding en de goedkeuring door de raad van bestuur </w:t>
      </w:r>
      <w:r w:rsidR="004A1287">
        <w:t xml:space="preserve">zullen vraag en aanbod met elkaar worden gematcht volgens de bepalingen in het marktreglement. </w:t>
      </w:r>
      <w:r w:rsidR="004E0F8C">
        <w:t>En zullen de aangeboden aandelen verhandeld worden en zal er desgevallend ook een nieuwe kapitaalverhoging plaatsvinden</w:t>
      </w:r>
      <w:r w:rsidR="00C7442F">
        <w:t xml:space="preserve"> op Empart II BV die met het opgehaalde kapitaal bijkomende aandelen in De Cronos Groep NV zal verwerven. </w:t>
      </w:r>
    </w:p>
    <w:p w14:paraId="7802F4C0" w14:textId="77777777" w:rsidR="004A1287" w:rsidRDefault="004A1287" w:rsidP="001B7D50"/>
    <w:p w14:paraId="5E25CBD3" w14:textId="77777777" w:rsidR="0039133A" w:rsidRPr="00193192" w:rsidRDefault="0039133A" w:rsidP="00257296">
      <w:pPr>
        <w:pStyle w:val="Style1"/>
      </w:pPr>
      <w:bookmarkStart w:id="71" w:name="_Toc1575418"/>
      <w:bookmarkStart w:id="72" w:name="_Toc1734426"/>
      <w:r w:rsidRPr="00193192">
        <w:t>Informatie over de aangeboden beleggingsinstrumenten</w:t>
      </w:r>
      <w:bookmarkEnd w:id="71"/>
      <w:bookmarkEnd w:id="72"/>
      <w:r w:rsidRPr="00193192">
        <w:t xml:space="preserve"> </w:t>
      </w:r>
    </w:p>
    <w:p w14:paraId="6B09535D" w14:textId="77777777" w:rsidR="0039133A" w:rsidRPr="00193192" w:rsidRDefault="0039133A" w:rsidP="00257296">
      <w:pPr>
        <w:pStyle w:val="Style2"/>
      </w:pPr>
      <w:bookmarkStart w:id="73" w:name="_Toc1575419"/>
      <w:bookmarkStart w:id="74" w:name="_Toc1734427"/>
      <w:r w:rsidRPr="00193192">
        <w:t>Kenmerken van de aangeboden beleggingsinstrumenten</w:t>
      </w:r>
      <w:bookmarkEnd w:id="73"/>
      <w:bookmarkEnd w:id="74"/>
      <w:r w:rsidRPr="00193192">
        <w:t xml:space="preserve"> </w:t>
      </w:r>
    </w:p>
    <w:p w14:paraId="5FCFFE56" w14:textId="77777777" w:rsidR="0039133A" w:rsidRDefault="0039133A" w:rsidP="00257296">
      <w:pPr>
        <w:pStyle w:val="Style3"/>
      </w:pPr>
      <w:bookmarkStart w:id="75" w:name="_Toc1575420"/>
      <w:r>
        <w:t>Aard en categorie van de beleggingsinstrumenten</w:t>
      </w:r>
      <w:bookmarkEnd w:id="75"/>
      <w:r>
        <w:t xml:space="preserve"> </w:t>
      </w:r>
    </w:p>
    <w:p w14:paraId="495D0448" w14:textId="212D6C46" w:rsidR="0039133A" w:rsidRDefault="0039133A" w:rsidP="001B7D50">
      <w:r>
        <w:t xml:space="preserve">De aangeboden beleggingsinstrumenten zijn aandelen </w:t>
      </w:r>
      <w:r w:rsidR="002D0F69">
        <w:t xml:space="preserve">in </w:t>
      </w:r>
      <w:r w:rsidR="00564751">
        <w:t xml:space="preserve">de </w:t>
      </w:r>
      <w:r w:rsidR="000E42DD">
        <w:t>Maatschap</w:t>
      </w:r>
      <w:r w:rsidR="002D0F69">
        <w:t xml:space="preserve">. De aandelen zijn op naam en worden ingeschreven in het </w:t>
      </w:r>
      <w:r w:rsidR="00564751">
        <w:t xml:space="preserve">elektronische </w:t>
      </w:r>
      <w:r w:rsidR="002D0F69">
        <w:t>aa</w:t>
      </w:r>
      <w:r w:rsidR="00A7404E">
        <w:t xml:space="preserve">ndelenregister van </w:t>
      </w:r>
      <w:r w:rsidR="00564751">
        <w:t xml:space="preserve">de </w:t>
      </w:r>
      <w:r w:rsidR="00856BB7">
        <w:t>Maatschap</w:t>
      </w:r>
      <w:r w:rsidR="000E42DD">
        <w:t xml:space="preserve"> </w:t>
      </w:r>
      <w:r w:rsidR="00A7404E">
        <w:t>dat op de maatschappelijke zetel wordt bijgehouden. Iedere aandeelhouder kan verzoeken dat hem ter informatie een aandeelbewijs door middel van een uittreksel wordt afgeleverd.</w:t>
      </w:r>
    </w:p>
    <w:p w14:paraId="45174ADB" w14:textId="77777777" w:rsidR="00564751" w:rsidRDefault="00564751" w:rsidP="001B7D50"/>
    <w:p w14:paraId="107A0C3C" w14:textId="77777777" w:rsidR="001B7D50" w:rsidRDefault="002D0F69" w:rsidP="00257296">
      <w:pPr>
        <w:pStyle w:val="Style3"/>
      </w:pPr>
      <w:bookmarkStart w:id="76" w:name="_Toc1575421"/>
      <w:r>
        <w:t>Munt, benaming, nominale waarde</w:t>
      </w:r>
      <w:bookmarkEnd w:id="76"/>
      <w:r>
        <w:t xml:space="preserve"> </w:t>
      </w:r>
    </w:p>
    <w:p w14:paraId="3534179D" w14:textId="52827F8D" w:rsidR="00A7404E" w:rsidRDefault="001F14BD" w:rsidP="002D0F69">
      <w:r>
        <w:t>Munt:</w:t>
      </w:r>
      <w:r w:rsidR="00A7404E">
        <w:tab/>
      </w:r>
      <w:r w:rsidR="00A7404E">
        <w:tab/>
      </w:r>
      <w:r w:rsidR="00A7404E">
        <w:tab/>
      </w:r>
      <w:r w:rsidR="00A7404E">
        <w:tab/>
        <w:t>EUR</w:t>
      </w:r>
    </w:p>
    <w:p w14:paraId="2A7AB642" w14:textId="4C0F659E" w:rsidR="00A7404E" w:rsidRDefault="00BE1591" w:rsidP="002D0F69">
      <w:r>
        <w:t>Benaming:</w:t>
      </w:r>
      <w:r w:rsidR="00A7404E">
        <w:t xml:space="preserve"> </w:t>
      </w:r>
      <w:r w:rsidR="00A7404E">
        <w:tab/>
      </w:r>
      <w:r w:rsidR="00A7404E">
        <w:tab/>
      </w:r>
      <w:r w:rsidR="00A7404E">
        <w:tab/>
        <w:t xml:space="preserve">aandelen </w:t>
      </w:r>
    </w:p>
    <w:p w14:paraId="40AEBBBF" w14:textId="66672C07" w:rsidR="00A7404E" w:rsidRPr="00BE1591" w:rsidRDefault="00A7404E" w:rsidP="002D0F69">
      <w:r w:rsidRPr="00BE1591">
        <w:t xml:space="preserve">Nominale waarde </w:t>
      </w:r>
      <w:r w:rsidR="00BE1591" w:rsidRPr="00BE1591">
        <w:t xml:space="preserve">aandelen: </w:t>
      </w:r>
      <w:r w:rsidR="00BE1591" w:rsidRPr="00BE1591">
        <w:tab/>
      </w:r>
      <w:r w:rsidRPr="00BE1591">
        <w:t xml:space="preserve">€ </w:t>
      </w:r>
      <w:r w:rsidR="000E42DD" w:rsidRPr="00BE1591">
        <w:t>320</w:t>
      </w:r>
      <w:r w:rsidRPr="00BE1591">
        <w:t xml:space="preserve"> per aandeel </w:t>
      </w:r>
    </w:p>
    <w:p w14:paraId="0A6569F4" w14:textId="44083BFA" w:rsidR="002D0F69" w:rsidRDefault="00A7404E" w:rsidP="002D0F69">
      <w:r w:rsidRPr="00BE1591">
        <w:t xml:space="preserve">Laatste waardering </w:t>
      </w:r>
      <w:r w:rsidR="00EA1651" w:rsidRPr="00BE1591">
        <w:t>a</w:t>
      </w:r>
      <w:r w:rsidRPr="00BE1591">
        <w:t xml:space="preserve">andelen: </w:t>
      </w:r>
      <w:r w:rsidRPr="00BE1591">
        <w:tab/>
        <w:t xml:space="preserve">€ </w:t>
      </w:r>
      <w:r w:rsidR="00564751" w:rsidRPr="00BE1591">
        <w:t>320</w:t>
      </w:r>
      <w:r w:rsidRPr="00BE1591">
        <w:t xml:space="preserve"> per aandeel</w:t>
      </w:r>
      <w:r>
        <w:t xml:space="preserve"> </w:t>
      </w:r>
    </w:p>
    <w:p w14:paraId="3CC841F0" w14:textId="77777777" w:rsidR="00564751" w:rsidRDefault="00564751" w:rsidP="002D0F69"/>
    <w:p w14:paraId="6F9E67C4" w14:textId="77777777" w:rsidR="00A7404E" w:rsidRDefault="00A7404E" w:rsidP="00257296">
      <w:pPr>
        <w:pStyle w:val="Style3"/>
      </w:pPr>
      <w:bookmarkStart w:id="77" w:name="_Toc1575422"/>
      <w:r>
        <w:t>Vervaldatum en terugbetalingsmodaliteiten</w:t>
      </w:r>
      <w:bookmarkEnd w:id="77"/>
      <w:r>
        <w:t xml:space="preserve"> </w:t>
      </w:r>
    </w:p>
    <w:p w14:paraId="02EFB411" w14:textId="1423263E" w:rsidR="000E42DD" w:rsidRDefault="00A7404E" w:rsidP="00A7404E">
      <w:r>
        <w:t xml:space="preserve">De looptijd van de aangeboden aandelen is in principe onbeperkt. Zij blijven bestaan zolang de </w:t>
      </w:r>
      <w:r w:rsidR="00856BB7">
        <w:t>Maatschap</w:t>
      </w:r>
      <w:r>
        <w:t xml:space="preserve"> bestaat. De </w:t>
      </w:r>
      <w:r w:rsidR="00856BB7">
        <w:t>Maatschap</w:t>
      </w:r>
      <w:r>
        <w:t xml:space="preserve"> is opgericht voor onbeperkte duur. De inschrijver verbindt zich ertoe de door hem gekochte aandelen </w:t>
      </w:r>
      <w:r w:rsidRPr="00DD1D5F">
        <w:t xml:space="preserve">minimaal voor een periode van </w:t>
      </w:r>
      <w:r w:rsidR="00246A29">
        <w:t>twaalf</w:t>
      </w:r>
      <w:r w:rsidR="00C5242E" w:rsidRPr="00DD1D5F">
        <w:t xml:space="preserve"> </w:t>
      </w:r>
      <w:r w:rsidRPr="00DD1D5F">
        <w:t>maanden aan te houden.</w:t>
      </w:r>
      <w:r>
        <w:t xml:space="preserve"> Na </w:t>
      </w:r>
      <w:r w:rsidR="00246A29">
        <w:t>twaalf</w:t>
      </w:r>
      <w:r w:rsidR="00C5242E">
        <w:t xml:space="preserve"> </w:t>
      </w:r>
      <w:r>
        <w:t xml:space="preserve">maanden kunnen de aandelen op een interne markt verkocht worden tegen de </w:t>
      </w:r>
      <w:r>
        <w:lastRenderedPageBreak/>
        <w:t xml:space="preserve">waardering zoals deze op de laatste algemene vergadering van de </w:t>
      </w:r>
      <w:r w:rsidR="00856BB7">
        <w:t>Maatschap</w:t>
      </w:r>
      <w:r>
        <w:t xml:space="preserve"> werd vastgesteld.</w:t>
      </w:r>
      <w:r w:rsidR="003839B2">
        <w:t xml:space="preserve"> En volgens de bepalingen uit het marktreglement.</w:t>
      </w:r>
      <w:r>
        <w:t xml:space="preserve"> </w:t>
      </w:r>
    </w:p>
    <w:p w14:paraId="535662CF" w14:textId="77777777" w:rsidR="003839B2" w:rsidRDefault="003839B2" w:rsidP="00A7404E"/>
    <w:p w14:paraId="2F3EC966" w14:textId="77777777" w:rsidR="008F207B" w:rsidRDefault="008F207B" w:rsidP="00257296">
      <w:pPr>
        <w:pStyle w:val="Style3"/>
      </w:pPr>
      <w:bookmarkStart w:id="78" w:name="_Toc1575423"/>
      <w:r>
        <w:t>Rang van de aandelen in de kapitaalstructuur</w:t>
      </w:r>
      <w:r w:rsidR="00A80BD8">
        <w:t xml:space="preserve"> en stemrechten</w:t>
      </w:r>
      <w:bookmarkEnd w:id="78"/>
    </w:p>
    <w:p w14:paraId="503EE2A2" w14:textId="0B59B2C4" w:rsidR="00EC7953" w:rsidRDefault="008F207B" w:rsidP="008F207B">
      <w:r>
        <w:t xml:space="preserve">De aandelen zijn gewone aandelen die </w:t>
      </w:r>
      <w:r w:rsidR="00ED06D1">
        <w:t>geen voorrecht genieten bij ontbinding of</w:t>
      </w:r>
      <w:r>
        <w:t xml:space="preserve"> insolventie. </w:t>
      </w:r>
    </w:p>
    <w:p w14:paraId="40837238" w14:textId="77777777" w:rsidR="00C7442F" w:rsidRDefault="00C7442F" w:rsidP="008F207B"/>
    <w:p w14:paraId="7A44E640" w14:textId="77777777" w:rsidR="00102017" w:rsidRDefault="00102017" w:rsidP="00257296">
      <w:pPr>
        <w:pStyle w:val="Style3"/>
      </w:pPr>
      <w:bookmarkStart w:id="79" w:name="_Toc1575424"/>
      <w:r>
        <w:t>Beperkingen van de vrije overdracht van de beleggingsinstrumenten</w:t>
      </w:r>
      <w:bookmarkEnd w:id="79"/>
      <w:r>
        <w:t xml:space="preserve"> </w:t>
      </w:r>
    </w:p>
    <w:p w14:paraId="5E958172" w14:textId="3378D016" w:rsidR="00EC7953" w:rsidRDefault="00102017" w:rsidP="00102017">
      <w:r>
        <w:t xml:space="preserve">De aandelen kunnen worden overgedragen aan bestaande aandeelhouders van de </w:t>
      </w:r>
      <w:r w:rsidR="00856BB7">
        <w:t>Maatschap</w:t>
      </w:r>
      <w:r>
        <w:t>.</w:t>
      </w:r>
      <w:r w:rsidR="000E42DD">
        <w:t xml:space="preserve"> Mits goedkeuring door de raad van bestuur kunnen de aandelen ook overgedragen worden aan medewerkers van De Cronos Groep NV die op heden nog geen aandeelhouder in de Maatschap waren</w:t>
      </w:r>
      <w:r w:rsidR="00E63ECF">
        <w:t xml:space="preserve"> of aan vennootschappen verbonden aan De Cronos Groep NV</w:t>
      </w:r>
      <w:r w:rsidR="000E42DD">
        <w:t>.</w:t>
      </w:r>
      <w:r>
        <w:t xml:space="preserve"> Aandeelhouders kunnen hun aandelen ten vroegste na </w:t>
      </w:r>
      <w:r w:rsidR="00B03296">
        <w:t>twaalf</w:t>
      </w:r>
      <w:r w:rsidR="00C5242E">
        <w:t xml:space="preserve"> </w:t>
      </w:r>
      <w:r>
        <w:t>maanden overdragen.</w:t>
      </w:r>
    </w:p>
    <w:p w14:paraId="4042136F" w14:textId="45015137" w:rsidR="00102017" w:rsidRDefault="00102017" w:rsidP="00102017">
      <w:r>
        <w:t xml:space="preserve"> </w:t>
      </w:r>
    </w:p>
    <w:p w14:paraId="41F05407" w14:textId="77777777" w:rsidR="00102017" w:rsidRDefault="00102017" w:rsidP="00257296">
      <w:pPr>
        <w:pStyle w:val="Style3"/>
      </w:pPr>
      <w:bookmarkStart w:id="80" w:name="_Toc1575425"/>
      <w:r>
        <w:t>Dividendbeleid</w:t>
      </w:r>
      <w:bookmarkEnd w:id="80"/>
      <w:r>
        <w:t xml:space="preserve"> </w:t>
      </w:r>
    </w:p>
    <w:p w14:paraId="0F1E7DB4" w14:textId="19DD34CF" w:rsidR="00EC7953" w:rsidRDefault="00102017" w:rsidP="00102017">
      <w:r>
        <w:t xml:space="preserve">De </w:t>
      </w:r>
      <w:r w:rsidR="00856BB7">
        <w:t>Maatschap</w:t>
      </w:r>
      <w:r>
        <w:t xml:space="preserve"> heeft geen actief dividendbeleid.</w:t>
      </w:r>
    </w:p>
    <w:p w14:paraId="3BD46E0E" w14:textId="1119354D" w:rsidR="00102017" w:rsidRDefault="00102017" w:rsidP="00102017">
      <w:r>
        <w:t xml:space="preserve"> </w:t>
      </w:r>
    </w:p>
    <w:p w14:paraId="5F8EDCEF" w14:textId="77777777" w:rsidR="00102017" w:rsidRPr="00193192" w:rsidRDefault="00102017" w:rsidP="00257296">
      <w:pPr>
        <w:pStyle w:val="Style1"/>
      </w:pPr>
      <w:bookmarkStart w:id="81" w:name="_Toc1575426"/>
      <w:bookmarkStart w:id="82" w:name="_Toc1734428"/>
      <w:r w:rsidRPr="00193192">
        <w:t>Andere belangrijke informatie voor de beleggers</w:t>
      </w:r>
      <w:bookmarkEnd w:id="81"/>
      <w:bookmarkEnd w:id="82"/>
    </w:p>
    <w:p w14:paraId="06BEB277" w14:textId="12DBA0FD" w:rsidR="00102017" w:rsidRDefault="00102017" w:rsidP="00102017">
      <w:r>
        <w:t xml:space="preserve">De oprichtingsakte en gecoördineerde statuten van de </w:t>
      </w:r>
      <w:r w:rsidR="00856BB7">
        <w:t>Maatschap</w:t>
      </w:r>
      <w:r w:rsidR="00DF21A0">
        <w:t xml:space="preserve"> zijn beschikbaar op de zetel van de </w:t>
      </w:r>
      <w:r w:rsidR="00856BB7">
        <w:t>Maatschap</w:t>
      </w:r>
      <w:r w:rsidR="00DF21A0">
        <w:t xml:space="preserve"> en zijn op eenvoudig verzoek te verkijgen. </w:t>
      </w:r>
    </w:p>
    <w:p w14:paraId="73C46753" w14:textId="53D45D42" w:rsidR="00564751" w:rsidRPr="005C12C1" w:rsidRDefault="00564751" w:rsidP="00564751">
      <w:pPr>
        <w:jc w:val="both"/>
      </w:pPr>
      <w:r w:rsidRPr="005C12C1">
        <w:t>De afsluitdatum van het boekjaar van</w:t>
      </w:r>
      <w:r w:rsidR="00280BBB">
        <w:t xml:space="preserve"> de Maatscha</w:t>
      </w:r>
      <w:r w:rsidR="00F85FD3">
        <w:t>p, van Empart II BV en van</w:t>
      </w:r>
      <w:r w:rsidRPr="005C12C1">
        <w:t xml:space="preserve"> </w:t>
      </w:r>
      <w:r>
        <w:t>Empart B</w:t>
      </w:r>
      <w:r w:rsidR="00F85FD3">
        <w:t>V</w:t>
      </w:r>
      <w:r w:rsidRPr="005C12C1">
        <w:t xml:space="preserve"> is 31 maart</w:t>
      </w:r>
      <w:r w:rsidR="00280BBB">
        <w:t>.</w:t>
      </w:r>
    </w:p>
    <w:p w14:paraId="1A43C032" w14:textId="7866BCBD" w:rsidR="00564751" w:rsidRPr="005C12C1" w:rsidRDefault="00564751" w:rsidP="00564751">
      <w:pPr>
        <w:jc w:val="both"/>
      </w:pPr>
      <w:r w:rsidRPr="005C12C1">
        <w:t>De afsluitdatum van het boekjaar van De Cronos Groep NV is 31 maart</w:t>
      </w:r>
      <w:r w:rsidR="00F85FD3">
        <w:t>.</w:t>
      </w:r>
    </w:p>
    <w:p w14:paraId="3430FA08" w14:textId="4042A820" w:rsidR="00564751" w:rsidRPr="005C12C1" w:rsidRDefault="00564751" w:rsidP="00564751">
      <w:pPr>
        <w:jc w:val="both"/>
      </w:pPr>
      <w:r w:rsidRPr="005C12C1">
        <w:t xml:space="preserve">De afsluitdatum van het boekjaar van De Cronos Groep NV werd, in overeenstemming met Art. 3:109 en 3:110 KB WVV, niet weerhouden als datum van de geconsolideerde afsluiting omdat zo goed als alle dochtervennootschappen van </w:t>
      </w:r>
      <w:r w:rsidR="00284966">
        <w:t>d</w:t>
      </w:r>
      <w:r>
        <w:t xml:space="preserve">e Cronos </w:t>
      </w:r>
      <w:r w:rsidR="00284966">
        <w:t>g</w:t>
      </w:r>
      <w:r>
        <w:t>roep</w:t>
      </w:r>
      <w:r w:rsidRPr="005C12C1">
        <w:t xml:space="preserve"> afsluiten op 31 december. De cijfers die in de geconsolideerde jaarrekening van </w:t>
      </w:r>
      <w:r w:rsidR="00284966">
        <w:t>d</w:t>
      </w:r>
      <w:r>
        <w:t xml:space="preserve">e Cronos </w:t>
      </w:r>
      <w:r w:rsidR="00284966">
        <w:t>g</w:t>
      </w:r>
      <w:r>
        <w:t>roep</w:t>
      </w:r>
      <w:r w:rsidRPr="005C12C1">
        <w:t xml:space="preserve"> werden opgenomen zijn de cijfers per 31 december in tegenstelling tot de cijfers per 31 maart in de enkelvoudige jaarrekening van </w:t>
      </w:r>
      <w:r w:rsidR="00284966">
        <w:t>d</w:t>
      </w:r>
      <w:r>
        <w:t xml:space="preserve">e Cronos </w:t>
      </w:r>
      <w:r w:rsidR="00284966">
        <w:t>g</w:t>
      </w:r>
      <w:r>
        <w:t>roep</w:t>
      </w:r>
      <w:r w:rsidRPr="005C12C1">
        <w:t>.</w:t>
      </w:r>
    </w:p>
    <w:p w14:paraId="5CD13973" w14:textId="77777777" w:rsidR="00CA0B4D" w:rsidRDefault="00CA0B4D" w:rsidP="00102017"/>
    <w:p w14:paraId="6195CFC9" w14:textId="55EA301A" w:rsidR="00DF21A0" w:rsidRDefault="00B03296" w:rsidP="00102017">
      <w:r>
        <w:t xml:space="preserve">Het </w:t>
      </w:r>
      <w:r w:rsidR="00DF21A0">
        <w:t xml:space="preserve">marktreglement van de Vennootschap </w:t>
      </w:r>
      <w:r>
        <w:t xml:space="preserve">is </w:t>
      </w:r>
      <w:r w:rsidR="00DF21A0">
        <w:t xml:space="preserve">beschikbaar op de zetel van de Vennootschap en </w:t>
      </w:r>
      <w:r>
        <w:t>is</w:t>
      </w:r>
      <w:r w:rsidR="00DF21A0">
        <w:t xml:space="preserve"> op eenvoudig verzoek te verkrijgen. </w:t>
      </w:r>
    </w:p>
    <w:p w14:paraId="10313EAE" w14:textId="77777777" w:rsidR="00091E64" w:rsidRDefault="00091E64">
      <w:r>
        <w:br w:type="page"/>
      </w:r>
    </w:p>
    <w:p w14:paraId="4C3E5826" w14:textId="6D722C4F" w:rsidR="00065B7A" w:rsidRPr="00193192" w:rsidRDefault="00193192" w:rsidP="008F207B">
      <w:pPr>
        <w:rPr>
          <w:b/>
        </w:rPr>
      </w:pPr>
      <w:r w:rsidRPr="00193192">
        <w:rPr>
          <w:b/>
        </w:rPr>
        <w:lastRenderedPageBreak/>
        <w:t xml:space="preserve">Bijlage 1 Jaarrekening Empart </w:t>
      </w:r>
      <w:r w:rsidR="003839B2">
        <w:rPr>
          <w:b/>
        </w:rPr>
        <w:t>BV</w:t>
      </w:r>
      <w:r w:rsidR="00A47A2A">
        <w:rPr>
          <w:b/>
        </w:rPr>
        <w:t xml:space="preserve"> op afsluitdatum 31.03.</w:t>
      </w:r>
      <w:r w:rsidR="00DD1D5F">
        <w:rPr>
          <w:b/>
        </w:rPr>
        <w:t>202</w:t>
      </w:r>
      <w:r w:rsidR="00C21B6B">
        <w:rPr>
          <w:b/>
        </w:rPr>
        <w:t>4</w:t>
      </w:r>
      <w:r w:rsidR="00DD1D5F" w:rsidRPr="00193192">
        <w:rPr>
          <w:b/>
        </w:rPr>
        <w:t xml:space="preserve"> </w:t>
      </w:r>
    </w:p>
    <w:p w14:paraId="0EC899D3" w14:textId="2EF49265" w:rsidR="00193192" w:rsidRPr="00193192" w:rsidRDefault="00193192" w:rsidP="008F207B">
      <w:pPr>
        <w:rPr>
          <w:b/>
        </w:rPr>
      </w:pPr>
      <w:r>
        <w:br w:type="page"/>
      </w:r>
      <w:r w:rsidRPr="00193192">
        <w:rPr>
          <w:b/>
        </w:rPr>
        <w:lastRenderedPageBreak/>
        <w:t>Bijlage 2 : Jaarrekening Empart</w:t>
      </w:r>
      <w:r w:rsidR="00A47A2A">
        <w:rPr>
          <w:b/>
        </w:rPr>
        <w:t xml:space="preserve"> </w:t>
      </w:r>
      <w:r w:rsidR="003839B2">
        <w:rPr>
          <w:b/>
        </w:rPr>
        <w:t>BV</w:t>
      </w:r>
      <w:r w:rsidR="00A47A2A">
        <w:rPr>
          <w:b/>
        </w:rPr>
        <w:t xml:space="preserve"> op afsluitdatum 31.03.20</w:t>
      </w:r>
      <w:r w:rsidR="00DD1D5F">
        <w:rPr>
          <w:b/>
        </w:rPr>
        <w:t>2</w:t>
      </w:r>
      <w:r w:rsidR="00C21B6B">
        <w:rPr>
          <w:b/>
        </w:rPr>
        <w:t>3</w:t>
      </w:r>
      <w:r w:rsidR="004C2452">
        <w:rPr>
          <w:b/>
        </w:rPr>
        <w:t xml:space="preserve"> </w:t>
      </w:r>
    </w:p>
    <w:p w14:paraId="40C1FC55" w14:textId="77777777" w:rsidR="00193192" w:rsidRDefault="00193192">
      <w:r>
        <w:br w:type="page"/>
      </w:r>
    </w:p>
    <w:p w14:paraId="6CFA2A0F" w14:textId="7816FA7B" w:rsidR="00193192" w:rsidRPr="00193192" w:rsidRDefault="00193192" w:rsidP="008F207B">
      <w:pPr>
        <w:rPr>
          <w:b/>
        </w:rPr>
      </w:pPr>
      <w:r w:rsidRPr="00193192">
        <w:rPr>
          <w:b/>
        </w:rPr>
        <w:lastRenderedPageBreak/>
        <w:t xml:space="preserve">Bijlage 3: Geconsolideerde jaarrekening De </w:t>
      </w:r>
      <w:r w:rsidR="00E44785">
        <w:rPr>
          <w:b/>
        </w:rPr>
        <w:t>Cronos Groep NV</w:t>
      </w:r>
      <w:r w:rsidRPr="00193192">
        <w:rPr>
          <w:b/>
        </w:rPr>
        <w:t xml:space="preserve"> </w:t>
      </w:r>
      <w:r w:rsidR="00A47A2A">
        <w:rPr>
          <w:b/>
        </w:rPr>
        <w:t xml:space="preserve">op afsluitdatum </w:t>
      </w:r>
      <w:r w:rsidRPr="00193192">
        <w:rPr>
          <w:b/>
        </w:rPr>
        <w:t>31.03.</w:t>
      </w:r>
      <w:r w:rsidR="00A47A2A">
        <w:rPr>
          <w:b/>
        </w:rPr>
        <w:t>20</w:t>
      </w:r>
      <w:r w:rsidR="00DD1D5F">
        <w:rPr>
          <w:b/>
        </w:rPr>
        <w:t>2</w:t>
      </w:r>
      <w:r w:rsidR="00C21B6B">
        <w:rPr>
          <w:b/>
        </w:rPr>
        <w:t>4</w:t>
      </w:r>
      <w:r w:rsidR="004C2452">
        <w:rPr>
          <w:b/>
        </w:rPr>
        <w:t xml:space="preserve"> </w:t>
      </w:r>
    </w:p>
    <w:p w14:paraId="542C71D7" w14:textId="77777777" w:rsidR="00193192" w:rsidRDefault="00193192">
      <w:r>
        <w:br w:type="page"/>
      </w:r>
    </w:p>
    <w:p w14:paraId="481830A1" w14:textId="63BB768B" w:rsidR="00193192" w:rsidRPr="00193192" w:rsidRDefault="00193192" w:rsidP="008F207B">
      <w:pPr>
        <w:rPr>
          <w:b/>
        </w:rPr>
      </w:pPr>
      <w:r w:rsidRPr="00193192">
        <w:rPr>
          <w:b/>
        </w:rPr>
        <w:lastRenderedPageBreak/>
        <w:t xml:space="preserve">Bijlage 4: Geconsolideerde jaarrekening De Cronos Groep </w:t>
      </w:r>
      <w:r w:rsidR="00A47A2A">
        <w:rPr>
          <w:b/>
        </w:rPr>
        <w:t xml:space="preserve">NV op afsluitdatum </w:t>
      </w:r>
      <w:r w:rsidRPr="00193192">
        <w:rPr>
          <w:b/>
        </w:rPr>
        <w:t>31.03.</w:t>
      </w:r>
      <w:r w:rsidR="00DD1D5F">
        <w:rPr>
          <w:b/>
        </w:rPr>
        <w:t>202</w:t>
      </w:r>
      <w:r w:rsidR="00C21B6B">
        <w:rPr>
          <w:b/>
        </w:rPr>
        <w:t>3</w:t>
      </w:r>
      <w:r w:rsidR="00DD1D5F">
        <w:rPr>
          <w:b/>
        </w:rPr>
        <w:t xml:space="preserve"> </w:t>
      </w:r>
    </w:p>
    <w:p w14:paraId="630E5D10" w14:textId="77777777" w:rsidR="00193192" w:rsidRDefault="00193192" w:rsidP="008F207B"/>
    <w:sectPr w:rsidR="00193192" w:rsidSect="001A34C9">
      <w:footerReference w:type="default" r:id="rId11"/>
      <w:type w:val="continuous"/>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0F5B4" w14:textId="77777777" w:rsidR="001A34C9" w:rsidRDefault="001A34C9" w:rsidP="00193192">
      <w:pPr>
        <w:spacing w:after="0" w:line="240" w:lineRule="auto"/>
      </w:pPr>
      <w:r>
        <w:separator/>
      </w:r>
    </w:p>
  </w:endnote>
  <w:endnote w:type="continuationSeparator" w:id="0">
    <w:p w14:paraId="6F4C81DB" w14:textId="77777777" w:rsidR="001A34C9" w:rsidRDefault="001A34C9" w:rsidP="00193192">
      <w:pPr>
        <w:spacing w:after="0" w:line="240" w:lineRule="auto"/>
      </w:pPr>
      <w:r>
        <w:continuationSeparator/>
      </w:r>
    </w:p>
  </w:endnote>
  <w:endnote w:type="continuationNotice" w:id="1">
    <w:p w14:paraId="6390D2B1" w14:textId="77777777" w:rsidR="001A34C9" w:rsidRDefault="001A34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0274" w14:textId="77777777" w:rsidR="00DB3B81" w:rsidRDefault="00DB3B81">
    <w:pPr>
      <w:pStyle w:val="Footer"/>
      <w:jc w:val="right"/>
    </w:pPr>
  </w:p>
  <w:p w14:paraId="3AEED95C" w14:textId="77777777" w:rsidR="00DB3B81" w:rsidRDefault="00DB3B81" w:rsidP="00091E6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318333"/>
      <w:docPartObj>
        <w:docPartGallery w:val="Page Numbers (Bottom of Page)"/>
        <w:docPartUnique/>
      </w:docPartObj>
    </w:sdtPr>
    <w:sdtEndPr>
      <w:rPr>
        <w:noProof/>
      </w:rPr>
    </w:sdtEndPr>
    <w:sdtContent>
      <w:p w14:paraId="3A829602" w14:textId="77777777" w:rsidR="00CF2604" w:rsidRDefault="00CF2604">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3EC192F5" w14:textId="77777777" w:rsidR="00DB3B81" w:rsidRDefault="00DB3B81" w:rsidP="00091E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72C5" w14:textId="77777777" w:rsidR="001A34C9" w:rsidRDefault="001A34C9" w:rsidP="00193192">
      <w:pPr>
        <w:spacing w:after="0" w:line="240" w:lineRule="auto"/>
      </w:pPr>
      <w:r>
        <w:separator/>
      </w:r>
    </w:p>
  </w:footnote>
  <w:footnote w:type="continuationSeparator" w:id="0">
    <w:p w14:paraId="68AB41FA" w14:textId="77777777" w:rsidR="001A34C9" w:rsidRDefault="001A34C9" w:rsidP="00193192">
      <w:pPr>
        <w:spacing w:after="0" w:line="240" w:lineRule="auto"/>
      </w:pPr>
      <w:r>
        <w:continuationSeparator/>
      </w:r>
    </w:p>
  </w:footnote>
  <w:footnote w:type="continuationNotice" w:id="1">
    <w:p w14:paraId="1266CB0F" w14:textId="77777777" w:rsidR="001A34C9" w:rsidRDefault="001A34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23DC"/>
    <w:multiLevelType w:val="hybridMultilevel"/>
    <w:tmpl w:val="CD4C9BBE"/>
    <w:lvl w:ilvl="0" w:tplc="8EB66D84">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E4A2B8B"/>
    <w:multiLevelType w:val="multilevel"/>
    <w:tmpl w:val="535074E0"/>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97F7CE1"/>
    <w:multiLevelType w:val="multilevel"/>
    <w:tmpl w:val="FA00588E"/>
    <w:lvl w:ilvl="0">
      <w:start w:val="1"/>
      <w:numFmt w:val="decimal"/>
      <w:pStyle w:val="Style1"/>
      <w:lvlText w:val="%1."/>
      <w:lvlJc w:val="left"/>
      <w:pPr>
        <w:ind w:left="720" w:hanging="360"/>
      </w:pPr>
      <w:rPr>
        <w:rFonts w:hint="default"/>
      </w:rPr>
    </w:lvl>
    <w:lvl w:ilvl="1">
      <w:start w:val="1"/>
      <w:numFmt w:val="decimal"/>
      <w:pStyle w:val="Style2"/>
      <w:isLgl/>
      <w:lvlText w:val="%1.%2"/>
      <w:lvlJc w:val="left"/>
      <w:pPr>
        <w:ind w:left="1416" w:hanging="696"/>
      </w:pPr>
      <w:rPr>
        <w:rFonts w:hint="default"/>
      </w:rPr>
    </w:lvl>
    <w:lvl w:ilvl="2">
      <w:start w:val="1"/>
      <w:numFmt w:val="decimal"/>
      <w:pStyle w:val="Style3"/>
      <w:isLgl/>
      <w:lvlText w:val="%1.%2.%3"/>
      <w:lvlJc w:val="left"/>
      <w:pPr>
        <w:ind w:left="1800" w:hanging="720"/>
      </w:pPr>
      <w:rPr>
        <w:rFonts w:hint="default"/>
      </w:rPr>
    </w:lvl>
    <w:lvl w:ilvl="3">
      <w:start w:val="1"/>
      <w:numFmt w:val="decimal"/>
      <w:pStyle w:val="Style4"/>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677125A"/>
    <w:multiLevelType w:val="multilevel"/>
    <w:tmpl w:val="535074E0"/>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4AD92560"/>
    <w:multiLevelType w:val="multilevel"/>
    <w:tmpl w:val="535074E0"/>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1BA1C7C"/>
    <w:multiLevelType w:val="multilevel"/>
    <w:tmpl w:val="535074E0"/>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A371DD6"/>
    <w:multiLevelType w:val="hybridMultilevel"/>
    <w:tmpl w:val="65E6A1AC"/>
    <w:lvl w:ilvl="0" w:tplc="47F4C4BE">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316B3B"/>
    <w:multiLevelType w:val="hybridMultilevel"/>
    <w:tmpl w:val="96E6931A"/>
    <w:lvl w:ilvl="0" w:tplc="690ECB58">
      <w:start w:val="3"/>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1162E7D"/>
    <w:multiLevelType w:val="hybridMultilevel"/>
    <w:tmpl w:val="4B42BC3A"/>
    <w:lvl w:ilvl="0" w:tplc="863C1314">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013408700">
    <w:abstractNumId w:val="7"/>
  </w:num>
  <w:num w:numId="2" w16cid:durableId="488332628">
    <w:abstractNumId w:val="2"/>
  </w:num>
  <w:num w:numId="3" w16cid:durableId="1439330932">
    <w:abstractNumId w:val="0"/>
  </w:num>
  <w:num w:numId="4" w16cid:durableId="2067727304">
    <w:abstractNumId w:val="8"/>
  </w:num>
  <w:num w:numId="5" w16cid:durableId="1994796601">
    <w:abstractNumId w:val="6"/>
  </w:num>
  <w:num w:numId="6" w16cid:durableId="271403083">
    <w:abstractNumId w:val="4"/>
  </w:num>
  <w:num w:numId="7" w16cid:durableId="1493594646">
    <w:abstractNumId w:val="3"/>
  </w:num>
  <w:num w:numId="8" w16cid:durableId="972713153">
    <w:abstractNumId w:val="5"/>
  </w:num>
  <w:num w:numId="9" w16cid:durableId="1363243252">
    <w:abstractNumId w:val="1"/>
  </w:num>
  <w:num w:numId="10" w16cid:durableId="63853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57"/>
    <w:rsid w:val="000121C3"/>
    <w:rsid w:val="00012CC0"/>
    <w:rsid w:val="0001302E"/>
    <w:rsid w:val="000251CA"/>
    <w:rsid w:val="000366FB"/>
    <w:rsid w:val="0003733F"/>
    <w:rsid w:val="000503F5"/>
    <w:rsid w:val="00050B97"/>
    <w:rsid w:val="0005444A"/>
    <w:rsid w:val="00056CD6"/>
    <w:rsid w:val="00065B7A"/>
    <w:rsid w:val="000676F1"/>
    <w:rsid w:val="00077939"/>
    <w:rsid w:val="00084445"/>
    <w:rsid w:val="00091E64"/>
    <w:rsid w:val="00092836"/>
    <w:rsid w:val="000A2CF5"/>
    <w:rsid w:val="000C6E6A"/>
    <w:rsid w:val="000D3E71"/>
    <w:rsid w:val="000E2142"/>
    <w:rsid w:val="000E42DD"/>
    <w:rsid w:val="001000CE"/>
    <w:rsid w:val="00101585"/>
    <w:rsid w:val="00102017"/>
    <w:rsid w:val="00150C73"/>
    <w:rsid w:val="00152851"/>
    <w:rsid w:val="00152FFA"/>
    <w:rsid w:val="00153181"/>
    <w:rsid w:val="0016460A"/>
    <w:rsid w:val="0016471C"/>
    <w:rsid w:val="001871BD"/>
    <w:rsid w:val="001918C5"/>
    <w:rsid w:val="00193192"/>
    <w:rsid w:val="001A34C9"/>
    <w:rsid w:val="001A3D1A"/>
    <w:rsid w:val="001B1CFA"/>
    <w:rsid w:val="001B60FE"/>
    <w:rsid w:val="001B7D50"/>
    <w:rsid w:val="001C1D8D"/>
    <w:rsid w:val="001C4609"/>
    <w:rsid w:val="001C5DFB"/>
    <w:rsid w:val="001C75E5"/>
    <w:rsid w:val="001D24CD"/>
    <w:rsid w:val="001D6B13"/>
    <w:rsid w:val="001E336E"/>
    <w:rsid w:val="001F14BD"/>
    <w:rsid w:val="001F4D1D"/>
    <w:rsid w:val="00230C81"/>
    <w:rsid w:val="002424FF"/>
    <w:rsid w:val="00246A29"/>
    <w:rsid w:val="002562D4"/>
    <w:rsid w:val="00257296"/>
    <w:rsid w:val="00280BBB"/>
    <w:rsid w:val="00284966"/>
    <w:rsid w:val="002919DD"/>
    <w:rsid w:val="002A7E1E"/>
    <w:rsid w:val="002A7FFC"/>
    <w:rsid w:val="002D0A86"/>
    <w:rsid w:val="002D0F69"/>
    <w:rsid w:val="002E0B98"/>
    <w:rsid w:val="002E1DF1"/>
    <w:rsid w:val="002F18C6"/>
    <w:rsid w:val="002F278B"/>
    <w:rsid w:val="002F6381"/>
    <w:rsid w:val="002F7167"/>
    <w:rsid w:val="00315EBC"/>
    <w:rsid w:val="00317D30"/>
    <w:rsid w:val="00321166"/>
    <w:rsid w:val="003307E8"/>
    <w:rsid w:val="00330883"/>
    <w:rsid w:val="00340FEC"/>
    <w:rsid w:val="00341476"/>
    <w:rsid w:val="00344F1A"/>
    <w:rsid w:val="003554D4"/>
    <w:rsid w:val="00362A24"/>
    <w:rsid w:val="00362CBB"/>
    <w:rsid w:val="00374B37"/>
    <w:rsid w:val="003760F1"/>
    <w:rsid w:val="003839B2"/>
    <w:rsid w:val="00383CC7"/>
    <w:rsid w:val="00385654"/>
    <w:rsid w:val="00387957"/>
    <w:rsid w:val="0039133A"/>
    <w:rsid w:val="00392563"/>
    <w:rsid w:val="00392652"/>
    <w:rsid w:val="003A2ACB"/>
    <w:rsid w:val="003B17D1"/>
    <w:rsid w:val="003B666E"/>
    <w:rsid w:val="003D106F"/>
    <w:rsid w:val="003D5D9E"/>
    <w:rsid w:val="003E6E7F"/>
    <w:rsid w:val="00403E21"/>
    <w:rsid w:val="004053F8"/>
    <w:rsid w:val="004055E0"/>
    <w:rsid w:val="00422BDD"/>
    <w:rsid w:val="0045119B"/>
    <w:rsid w:val="00453EE5"/>
    <w:rsid w:val="00461051"/>
    <w:rsid w:val="00464ACE"/>
    <w:rsid w:val="00467E06"/>
    <w:rsid w:val="00491B4E"/>
    <w:rsid w:val="004A1287"/>
    <w:rsid w:val="004A66B5"/>
    <w:rsid w:val="004C2452"/>
    <w:rsid w:val="004C7484"/>
    <w:rsid w:val="004D0AC3"/>
    <w:rsid w:val="004D2A62"/>
    <w:rsid w:val="004D2AF7"/>
    <w:rsid w:val="004E0F8C"/>
    <w:rsid w:val="004E1FBE"/>
    <w:rsid w:val="004F6CB1"/>
    <w:rsid w:val="0052311C"/>
    <w:rsid w:val="00526731"/>
    <w:rsid w:val="0054558C"/>
    <w:rsid w:val="00550B23"/>
    <w:rsid w:val="00551BBD"/>
    <w:rsid w:val="0055313D"/>
    <w:rsid w:val="00556E2D"/>
    <w:rsid w:val="00560B49"/>
    <w:rsid w:val="00564751"/>
    <w:rsid w:val="005669FB"/>
    <w:rsid w:val="005732AB"/>
    <w:rsid w:val="0058031D"/>
    <w:rsid w:val="00582F83"/>
    <w:rsid w:val="005914E8"/>
    <w:rsid w:val="005A08E0"/>
    <w:rsid w:val="005A18C0"/>
    <w:rsid w:val="005A4354"/>
    <w:rsid w:val="005A7BCD"/>
    <w:rsid w:val="005B01FE"/>
    <w:rsid w:val="005B0CFA"/>
    <w:rsid w:val="005B6B2F"/>
    <w:rsid w:val="005C2E1A"/>
    <w:rsid w:val="005E379D"/>
    <w:rsid w:val="00610CDB"/>
    <w:rsid w:val="00614B9A"/>
    <w:rsid w:val="00636404"/>
    <w:rsid w:val="00642393"/>
    <w:rsid w:val="00651729"/>
    <w:rsid w:val="006617A8"/>
    <w:rsid w:val="00684F7C"/>
    <w:rsid w:val="006C32ED"/>
    <w:rsid w:val="006C3A9C"/>
    <w:rsid w:val="00723350"/>
    <w:rsid w:val="00726DA2"/>
    <w:rsid w:val="00727096"/>
    <w:rsid w:val="00731943"/>
    <w:rsid w:val="007432C7"/>
    <w:rsid w:val="00747739"/>
    <w:rsid w:val="007500D0"/>
    <w:rsid w:val="007505F8"/>
    <w:rsid w:val="0076313B"/>
    <w:rsid w:val="00774B9E"/>
    <w:rsid w:val="00784CBC"/>
    <w:rsid w:val="00796F00"/>
    <w:rsid w:val="007C43F6"/>
    <w:rsid w:val="007D307E"/>
    <w:rsid w:val="007F50EE"/>
    <w:rsid w:val="008062F1"/>
    <w:rsid w:val="00807245"/>
    <w:rsid w:val="008118D8"/>
    <w:rsid w:val="008208F9"/>
    <w:rsid w:val="0082463D"/>
    <w:rsid w:val="008479F4"/>
    <w:rsid w:val="00856755"/>
    <w:rsid w:val="00856BB7"/>
    <w:rsid w:val="0086722A"/>
    <w:rsid w:val="0088109F"/>
    <w:rsid w:val="008820BE"/>
    <w:rsid w:val="008A3FBE"/>
    <w:rsid w:val="008A421E"/>
    <w:rsid w:val="008A6AD5"/>
    <w:rsid w:val="008B1DEA"/>
    <w:rsid w:val="008B4180"/>
    <w:rsid w:val="008B5260"/>
    <w:rsid w:val="008C1486"/>
    <w:rsid w:val="008C57A1"/>
    <w:rsid w:val="008D0E85"/>
    <w:rsid w:val="008D40D5"/>
    <w:rsid w:val="008D44B1"/>
    <w:rsid w:val="008F173D"/>
    <w:rsid w:val="008F207B"/>
    <w:rsid w:val="00901CA1"/>
    <w:rsid w:val="00905C02"/>
    <w:rsid w:val="0090616C"/>
    <w:rsid w:val="0092307F"/>
    <w:rsid w:val="00931C82"/>
    <w:rsid w:val="00940AD0"/>
    <w:rsid w:val="0094799B"/>
    <w:rsid w:val="00955496"/>
    <w:rsid w:val="00966957"/>
    <w:rsid w:val="00967B2D"/>
    <w:rsid w:val="00967CF6"/>
    <w:rsid w:val="00985247"/>
    <w:rsid w:val="0099029B"/>
    <w:rsid w:val="00990B61"/>
    <w:rsid w:val="00992702"/>
    <w:rsid w:val="009A3624"/>
    <w:rsid w:val="009A79BE"/>
    <w:rsid w:val="009D04AA"/>
    <w:rsid w:val="009D3411"/>
    <w:rsid w:val="009D3776"/>
    <w:rsid w:val="009E09E4"/>
    <w:rsid w:val="009E2E98"/>
    <w:rsid w:val="009E4AA9"/>
    <w:rsid w:val="009F1BC1"/>
    <w:rsid w:val="00A30642"/>
    <w:rsid w:val="00A30788"/>
    <w:rsid w:val="00A3455E"/>
    <w:rsid w:val="00A427AD"/>
    <w:rsid w:val="00A47A2A"/>
    <w:rsid w:val="00A50687"/>
    <w:rsid w:val="00A67BBE"/>
    <w:rsid w:val="00A73C96"/>
    <w:rsid w:val="00A7404E"/>
    <w:rsid w:val="00A75A40"/>
    <w:rsid w:val="00A80BD8"/>
    <w:rsid w:val="00A85AE5"/>
    <w:rsid w:val="00AA38AE"/>
    <w:rsid w:val="00AA4809"/>
    <w:rsid w:val="00AB2281"/>
    <w:rsid w:val="00AB277D"/>
    <w:rsid w:val="00AB57D8"/>
    <w:rsid w:val="00AD121E"/>
    <w:rsid w:val="00AD3FA5"/>
    <w:rsid w:val="00AE2C9D"/>
    <w:rsid w:val="00AE3C76"/>
    <w:rsid w:val="00AF3C7E"/>
    <w:rsid w:val="00AF4575"/>
    <w:rsid w:val="00B00851"/>
    <w:rsid w:val="00B02D77"/>
    <w:rsid w:val="00B03296"/>
    <w:rsid w:val="00B13819"/>
    <w:rsid w:val="00B1463F"/>
    <w:rsid w:val="00B2000D"/>
    <w:rsid w:val="00B40D7F"/>
    <w:rsid w:val="00B44837"/>
    <w:rsid w:val="00B65506"/>
    <w:rsid w:val="00B6659D"/>
    <w:rsid w:val="00B7377C"/>
    <w:rsid w:val="00B7625D"/>
    <w:rsid w:val="00B91323"/>
    <w:rsid w:val="00B95925"/>
    <w:rsid w:val="00BA050A"/>
    <w:rsid w:val="00BA1848"/>
    <w:rsid w:val="00BA6230"/>
    <w:rsid w:val="00BA6938"/>
    <w:rsid w:val="00BB17F6"/>
    <w:rsid w:val="00BC2C2F"/>
    <w:rsid w:val="00BC3908"/>
    <w:rsid w:val="00BC53B8"/>
    <w:rsid w:val="00BD3466"/>
    <w:rsid w:val="00BD651E"/>
    <w:rsid w:val="00BE1591"/>
    <w:rsid w:val="00BF5954"/>
    <w:rsid w:val="00BF6411"/>
    <w:rsid w:val="00C07FEF"/>
    <w:rsid w:val="00C10C24"/>
    <w:rsid w:val="00C21B6B"/>
    <w:rsid w:val="00C323F3"/>
    <w:rsid w:val="00C347EF"/>
    <w:rsid w:val="00C5242E"/>
    <w:rsid w:val="00C57EFD"/>
    <w:rsid w:val="00C60033"/>
    <w:rsid w:val="00C652F2"/>
    <w:rsid w:val="00C72895"/>
    <w:rsid w:val="00C7442F"/>
    <w:rsid w:val="00C86193"/>
    <w:rsid w:val="00CA0B4D"/>
    <w:rsid w:val="00CC45B8"/>
    <w:rsid w:val="00CD52CC"/>
    <w:rsid w:val="00CE6F35"/>
    <w:rsid w:val="00CE74AD"/>
    <w:rsid w:val="00CF2604"/>
    <w:rsid w:val="00CF2971"/>
    <w:rsid w:val="00CF68AD"/>
    <w:rsid w:val="00D00C0D"/>
    <w:rsid w:val="00D060B3"/>
    <w:rsid w:val="00D11A8A"/>
    <w:rsid w:val="00D40901"/>
    <w:rsid w:val="00D51F2E"/>
    <w:rsid w:val="00D541E3"/>
    <w:rsid w:val="00D56F71"/>
    <w:rsid w:val="00D626D1"/>
    <w:rsid w:val="00DA21AA"/>
    <w:rsid w:val="00DB0B5B"/>
    <w:rsid w:val="00DB3B81"/>
    <w:rsid w:val="00DD1D5F"/>
    <w:rsid w:val="00DE1E5D"/>
    <w:rsid w:val="00DF21A0"/>
    <w:rsid w:val="00E008EA"/>
    <w:rsid w:val="00E3656F"/>
    <w:rsid w:val="00E44785"/>
    <w:rsid w:val="00E44FF0"/>
    <w:rsid w:val="00E46B50"/>
    <w:rsid w:val="00E5056F"/>
    <w:rsid w:val="00E53193"/>
    <w:rsid w:val="00E63ECF"/>
    <w:rsid w:val="00E70144"/>
    <w:rsid w:val="00E740B4"/>
    <w:rsid w:val="00E81760"/>
    <w:rsid w:val="00E841B1"/>
    <w:rsid w:val="00E908B0"/>
    <w:rsid w:val="00E91B2D"/>
    <w:rsid w:val="00E96472"/>
    <w:rsid w:val="00EA1651"/>
    <w:rsid w:val="00EC0E82"/>
    <w:rsid w:val="00EC7953"/>
    <w:rsid w:val="00ED06D1"/>
    <w:rsid w:val="00ED1C2C"/>
    <w:rsid w:val="00ED2BED"/>
    <w:rsid w:val="00ED6DA3"/>
    <w:rsid w:val="00EE328D"/>
    <w:rsid w:val="00EE35AA"/>
    <w:rsid w:val="00EE63BD"/>
    <w:rsid w:val="00EE7281"/>
    <w:rsid w:val="00EF5BEC"/>
    <w:rsid w:val="00F045DD"/>
    <w:rsid w:val="00F2113F"/>
    <w:rsid w:val="00F2193F"/>
    <w:rsid w:val="00F25766"/>
    <w:rsid w:val="00F536EB"/>
    <w:rsid w:val="00F55FD3"/>
    <w:rsid w:val="00F64FA9"/>
    <w:rsid w:val="00F81959"/>
    <w:rsid w:val="00F85FD3"/>
    <w:rsid w:val="00FA6C55"/>
    <w:rsid w:val="00FB2A39"/>
    <w:rsid w:val="00FB3585"/>
    <w:rsid w:val="00FB447A"/>
    <w:rsid w:val="00FC6BDB"/>
    <w:rsid w:val="00FD2892"/>
    <w:rsid w:val="00FD7364"/>
    <w:rsid w:val="00FF0ECD"/>
    <w:rsid w:val="00FF55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4C71"/>
  <w15:docId w15:val="{D5E94869-BD6A-4A70-A0E7-544B46CC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323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323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377C"/>
    <w:pPr>
      <w:ind w:left="720"/>
      <w:contextualSpacing/>
    </w:pPr>
  </w:style>
  <w:style w:type="paragraph" w:styleId="Title">
    <w:name w:val="Title"/>
    <w:basedOn w:val="Normal"/>
    <w:next w:val="Normal"/>
    <w:link w:val="TitleChar"/>
    <w:uiPriority w:val="10"/>
    <w:qFormat/>
    <w:rsid w:val="005A08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8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08E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1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4B9E"/>
    <w:rPr>
      <w:color w:val="0563C1" w:themeColor="hyperlink"/>
      <w:u w:val="single"/>
    </w:rPr>
  </w:style>
  <w:style w:type="paragraph" w:styleId="TOCHeading">
    <w:name w:val="TOC Heading"/>
    <w:basedOn w:val="Heading1"/>
    <w:next w:val="Normal"/>
    <w:uiPriority w:val="39"/>
    <w:unhideWhenUsed/>
    <w:qFormat/>
    <w:rsid w:val="00193192"/>
    <w:pPr>
      <w:outlineLvl w:val="9"/>
    </w:pPr>
    <w:rPr>
      <w:lang w:val="en-US"/>
    </w:rPr>
  </w:style>
  <w:style w:type="paragraph" w:styleId="Header">
    <w:name w:val="header"/>
    <w:basedOn w:val="Normal"/>
    <w:link w:val="HeaderChar"/>
    <w:uiPriority w:val="99"/>
    <w:unhideWhenUsed/>
    <w:rsid w:val="001931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3192"/>
  </w:style>
  <w:style w:type="paragraph" w:styleId="Footer">
    <w:name w:val="footer"/>
    <w:basedOn w:val="Normal"/>
    <w:link w:val="FooterChar"/>
    <w:uiPriority w:val="99"/>
    <w:unhideWhenUsed/>
    <w:rsid w:val="001931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3192"/>
  </w:style>
  <w:style w:type="paragraph" w:styleId="TOC2">
    <w:name w:val="toc 2"/>
    <w:basedOn w:val="Normal"/>
    <w:next w:val="Normal"/>
    <w:autoRedefine/>
    <w:uiPriority w:val="39"/>
    <w:unhideWhenUsed/>
    <w:rsid w:val="003D106F"/>
    <w:pPr>
      <w:tabs>
        <w:tab w:val="left" w:pos="660"/>
        <w:tab w:val="right" w:leader="dot" w:pos="9062"/>
      </w:tabs>
      <w:spacing w:before="240" w:after="0"/>
    </w:pPr>
    <w:rPr>
      <w:rFonts w:cstheme="minorHAnsi"/>
      <w:b/>
      <w:bCs/>
      <w:sz w:val="20"/>
      <w:szCs w:val="20"/>
    </w:rPr>
  </w:style>
  <w:style w:type="paragraph" w:styleId="TOC1">
    <w:name w:val="toc 1"/>
    <w:basedOn w:val="Normal"/>
    <w:next w:val="Normal"/>
    <w:autoRedefine/>
    <w:uiPriority w:val="39"/>
    <w:unhideWhenUsed/>
    <w:rsid w:val="00257296"/>
    <w:pPr>
      <w:spacing w:before="360" w:after="0"/>
    </w:pPr>
    <w:rPr>
      <w:rFonts w:asciiTheme="majorHAnsi" w:hAnsiTheme="majorHAnsi"/>
      <w:b/>
      <w:bCs/>
      <w:caps/>
      <w:sz w:val="24"/>
      <w:szCs w:val="24"/>
    </w:rPr>
  </w:style>
  <w:style w:type="paragraph" w:styleId="TOC3">
    <w:name w:val="toc 3"/>
    <w:basedOn w:val="Normal"/>
    <w:next w:val="Normal"/>
    <w:autoRedefine/>
    <w:uiPriority w:val="39"/>
    <w:unhideWhenUsed/>
    <w:rsid w:val="00257296"/>
    <w:pPr>
      <w:spacing w:after="0"/>
      <w:ind w:left="220"/>
    </w:pPr>
    <w:rPr>
      <w:rFonts w:cstheme="minorHAnsi"/>
      <w:sz w:val="20"/>
      <w:szCs w:val="20"/>
    </w:rPr>
  </w:style>
  <w:style w:type="paragraph" w:styleId="TOC4">
    <w:name w:val="toc 4"/>
    <w:basedOn w:val="Normal"/>
    <w:next w:val="Normal"/>
    <w:autoRedefine/>
    <w:uiPriority w:val="39"/>
    <w:unhideWhenUsed/>
    <w:rsid w:val="00257296"/>
    <w:pPr>
      <w:spacing w:after="0"/>
      <w:ind w:left="440"/>
    </w:pPr>
    <w:rPr>
      <w:rFonts w:cstheme="minorHAnsi"/>
      <w:sz w:val="20"/>
      <w:szCs w:val="20"/>
    </w:rPr>
  </w:style>
  <w:style w:type="paragraph" w:styleId="TOC5">
    <w:name w:val="toc 5"/>
    <w:basedOn w:val="Normal"/>
    <w:next w:val="Normal"/>
    <w:autoRedefine/>
    <w:uiPriority w:val="39"/>
    <w:unhideWhenUsed/>
    <w:rsid w:val="00257296"/>
    <w:pPr>
      <w:spacing w:after="0"/>
      <w:ind w:left="660"/>
    </w:pPr>
    <w:rPr>
      <w:rFonts w:cstheme="minorHAnsi"/>
      <w:sz w:val="20"/>
      <w:szCs w:val="20"/>
    </w:rPr>
  </w:style>
  <w:style w:type="paragraph" w:styleId="TOC6">
    <w:name w:val="toc 6"/>
    <w:basedOn w:val="Normal"/>
    <w:next w:val="Normal"/>
    <w:autoRedefine/>
    <w:uiPriority w:val="39"/>
    <w:unhideWhenUsed/>
    <w:rsid w:val="00257296"/>
    <w:pPr>
      <w:spacing w:after="0"/>
      <w:ind w:left="880"/>
    </w:pPr>
    <w:rPr>
      <w:rFonts w:cstheme="minorHAnsi"/>
      <w:sz w:val="20"/>
      <w:szCs w:val="20"/>
    </w:rPr>
  </w:style>
  <w:style w:type="paragraph" w:styleId="TOC7">
    <w:name w:val="toc 7"/>
    <w:basedOn w:val="Normal"/>
    <w:next w:val="Normal"/>
    <w:autoRedefine/>
    <w:uiPriority w:val="39"/>
    <w:unhideWhenUsed/>
    <w:rsid w:val="00257296"/>
    <w:pPr>
      <w:spacing w:after="0"/>
      <w:ind w:left="1100"/>
    </w:pPr>
    <w:rPr>
      <w:rFonts w:cstheme="minorHAnsi"/>
      <w:sz w:val="20"/>
      <w:szCs w:val="20"/>
    </w:rPr>
  </w:style>
  <w:style w:type="paragraph" w:styleId="TOC8">
    <w:name w:val="toc 8"/>
    <w:basedOn w:val="Normal"/>
    <w:next w:val="Normal"/>
    <w:autoRedefine/>
    <w:uiPriority w:val="39"/>
    <w:unhideWhenUsed/>
    <w:rsid w:val="00257296"/>
    <w:pPr>
      <w:spacing w:after="0"/>
      <w:ind w:left="1320"/>
    </w:pPr>
    <w:rPr>
      <w:rFonts w:cstheme="minorHAnsi"/>
      <w:sz w:val="20"/>
      <w:szCs w:val="20"/>
    </w:rPr>
  </w:style>
  <w:style w:type="paragraph" w:styleId="TOC9">
    <w:name w:val="toc 9"/>
    <w:basedOn w:val="Normal"/>
    <w:next w:val="Normal"/>
    <w:autoRedefine/>
    <w:uiPriority w:val="39"/>
    <w:unhideWhenUsed/>
    <w:rsid w:val="00257296"/>
    <w:pPr>
      <w:spacing w:after="0"/>
      <w:ind w:left="1540"/>
    </w:pPr>
    <w:rPr>
      <w:rFonts w:cstheme="minorHAnsi"/>
      <w:sz w:val="20"/>
      <w:szCs w:val="20"/>
    </w:rPr>
  </w:style>
  <w:style w:type="paragraph" w:customStyle="1" w:styleId="Style1">
    <w:name w:val="Style1"/>
    <w:basedOn w:val="ListParagraph"/>
    <w:link w:val="Style1Char"/>
    <w:qFormat/>
    <w:rsid w:val="00257296"/>
    <w:pPr>
      <w:numPr>
        <w:numId w:val="2"/>
      </w:numPr>
    </w:pPr>
    <w:rPr>
      <w:b/>
    </w:rPr>
  </w:style>
  <w:style w:type="paragraph" w:customStyle="1" w:styleId="Style2">
    <w:name w:val="Style2"/>
    <w:basedOn w:val="ListParagraph"/>
    <w:link w:val="Style2Char"/>
    <w:qFormat/>
    <w:rsid w:val="00257296"/>
    <w:pPr>
      <w:numPr>
        <w:ilvl w:val="1"/>
        <w:numId w:val="2"/>
      </w:numPr>
    </w:pPr>
    <w:rPr>
      <w:b/>
    </w:rPr>
  </w:style>
  <w:style w:type="character" w:customStyle="1" w:styleId="ListParagraphChar">
    <w:name w:val="List Paragraph Char"/>
    <w:basedOn w:val="DefaultParagraphFont"/>
    <w:link w:val="ListParagraph"/>
    <w:uiPriority w:val="34"/>
    <w:rsid w:val="00257296"/>
  </w:style>
  <w:style w:type="character" w:customStyle="1" w:styleId="Style1Char">
    <w:name w:val="Style1 Char"/>
    <w:basedOn w:val="ListParagraphChar"/>
    <w:link w:val="Style1"/>
    <w:rsid w:val="00257296"/>
    <w:rPr>
      <w:b/>
    </w:rPr>
  </w:style>
  <w:style w:type="paragraph" w:customStyle="1" w:styleId="Style3">
    <w:name w:val="Style3"/>
    <w:basedOn w:val="ListParagraph"/>
    <w:link w:val="Style3Char"/>
    <w:qFormat/>
    <w:rsid w:val="00257296"/>
    <w:pPr>
      <w:numPr>
        <w:ilvl w:val="2"/>
        <w:numId w:val="2"/>
      </w:numPr>
    </w:pPr>
  </w:style>
  <w:style w:type="character" w:customStyle="1" w:styleId="Style2Char">
    <w:name w:val="Style2 Char"/>
    <w:basedOn w:val="ListParagraphChar"/>
    <w:link w:val="Style2"/>
    <w:rsid w:val="00257296"/>
    <w:rPr>
      <w:b/>
    </w:rPr>
  </w:style>
  <w:style w:type="paragraph" w:customStyle="1" w:styleId="Style4">
    <w:name w:val="Style4"/>
    <w:basedOn w:val="ListParagraph"/>
    <w:link w:val="Style4Char"/>
    <w:qFormat/>
    <w:rsid w:val="00257296"/>
    <w:pPr>
      <w:numPr>
        <w:ilvl w:val="3"/>
        <w:numId w:val="2"/>
      </w:numPr>
    </w:pPr>
  </w:style>
  <w:style w:type="character" w:customStyle="1" w:styleId="Style3Char">
    <w:name w:val="Style3 Char"/>
    <w:basedOn w:val="ListParagraphChar"/>
    <w:link w:val="Style3"/>
    <w:rsid w:val="00257296"/>
  </w:style>
  <w:style w:type="character" w:customStyle="1" w:styleId="Heading2Char">
    <w:name w:val="Heading 2 Char"/>
    <w:basedOn w:val="DefaultParagraphFont"/>
    <w:link w:val="Heading2"/>
    <w:uiPriority w:val="9"/>
    <w:semiHidden/>
    <w:rsid w:val="00C323F3"/>
    <w:rPr>
      <w:rFonts w:asciiTheme="majorHAnsi" w:eastAsiaTheme="majorEastAsia" w:hAnsiTheme="majorHAnsi" w:cstheme="majorBidi"/>
      <w:color w:val="2E74B5" w:themeColor="accent1" w:themeShade="BF"/>
      <w:sz w:val="26"/>
      <w:szCs w:val="26"/>
    </w:rPr>
  </w:style>
  <w:style w:type="character" w:customStyle="1" w:styleId="Style4Char">
    <w:name w:val="Style4 Char"/>
    <w:basedOn w:val="ListParagraphChar"/>
    <w:link w:val="Style4"/>
    <w:rsid w:val="00257296"/>
  </w:style>
  <w:style w:type="character" w:customStyle="1" w:styleId="Heading3Char">
    <w:name w:val="Heading 3 Char"/>
    <w:basedOn w:val="DefaultParagraphFont"/>
    <w:link w:val="Heading3"/>
    <w:uiPriority w:val="9"/>
    <w:semiHidden/>
    <w:rsid w:val="00C323F3"/>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1C7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5E5"/>
    <w:rPr>
      <w:rFonts w:ascii="Segoe UI" w:hAnsi="Segoe UI" w:cs="Segoe UI"/>
      <w:sz w:val="18"/>
      <w:szCs w:val="18"/>
    </w:rPr>
  </w:style>
  <w:style w:type="character" w:styleId="CommentReference">
    <w:name w:val="annotation reference"/>
    <w:basedOn w:val="DefaultParagraphFont"/>
    <w:uiPriority w:val="99"/>
    <w:semiHidden/>
    <w:unhideWhenUsed/>
    <w:rsid w:val="00077939"/>
    <w:rPr>
      <w:sz w:val="16"/>
      <w:szCs w:val="16"/>
    </w:rPr>
  </w:style>
  <w:style w:type="paragraph" w:styleId="CommentText">
    <w:name w:val="annotation text"/>
    <w:basedOn w:val="Normal"/>
    <w:link w:val="CommentTextChar"/>
    <w:uiPriority w:val="99"/>
    <w:unhideWhenUsed/>
    <w:rsid w:val="00077939"/>
    <w:pPr>
      <w:spacing w:line="240" w:lineRule="auto"/>
    </w:pPr>
    <w:rPr>
      <w:sz w:val="20"/>
      <w:szCs w:val="20"/>
    </w:rPr>
  </w:style>
  <w:style w:type="character" w:customStyle="1" w:styleId="CommentTextChar">
    <w:name w:val="Comment Text Char"/>
    <w:basedOn w:val="DefaultParagraphFont"/>
    <w:link w:val="CommentText"/>
    <w:uiPriority w:val="99"/>
    <w:rsid w:val="00077939"/>
    <w:rPr>
      <w:sz w:val="20"/>
      <w:szCs w:val="20"/>
    </w:rPr>
  </w:style>
  <w:style w:type="paragraph" w:styleId="CommentSubject">
    <w:name w:val="annotation subject"/>
    <w:basedOn w:val="CommentText"/>
    <w:next w:val="CommentText"/>
    <w:link w:val="CommentSubjectChar"/>
    <w:uiPriority w:val="99"/>
    <w:semiHidden/>
    <w:unhideWhenUsed/>
    <w:rsid w:val="00077939"/>
    <w:rPr>
      <w:b/>
      <w:bCs/>
    </w:rPr>
  </w:style>
  <w:style w:type="character" w:customStyle="1" w:styleId="CommentSubjectChar">
    <w:name w:val="Comment Subject Char"/>
    <w:basedOn w:val="CommentTextChar"/>
    <w:link w:val="CommentSubject"/>
    <w:uiPriority w:val="99"/>
    <w:semiHidden/>
    <w:rsid w:val="00077939"/>
    <w:rPr>
      <w:b/>
      <w:bCs/>
      <w:sz w:val="20"/>
      <w:szCs w:val="20"/>
    </w:rPr>
  </w:style>
  <w:style w:type="paragraph" w:styleId="Revision">
    <w:name w:val="Revision"/>
    <w:hidden/>
    <w:uiPriority w:val="99"/>
    <w:semiHidden/>
    <w:rsid w:val="00077939"/>
    <w:pPr>
      <w:spacing w:after="0" w:line="240" w:lineRule="auto"/>
    </w:pPr>
  </w:style>
  <w:style w:type="character" w:styleId="UnresolvedMention">
    <w:name w:val="Unresolved Mention"/>
    <w:basedOn w:val="DefaultParagraphFont"/>
    <w:uiPriority w:val="99"/>
    <w:semiHidden/>
    <w:unhideWhenUsed/>
    <w:rsid w:val="00CC45B8"/>
    <w:rPr>
      <w:color w:val="605E5C"/>
      <w:shd w:val="clear" w:color="auto" w:fill="E1DFDD"/>
    </w:rPr>
  </w:style>
  <w:style w:type="character" w:styleId="FollowedHyperlink">
    <w:name w:val="FollowedHyperlink"/>
    <w:basedOn w:val="DefaultParagraphFont"/>
    <w:uiPriority w:val="99"/>
    <w:semiHidden/>
    <w:unhideWhenUsed/>
    <w:rsid w:val="00403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mpart.cronos.be"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B89A-102A-4BDC-A12A-6908B546047D}">
  <ds:schemaRefs>
    <ds:schemaRef ds:uri="http://schemas.openxmlformats.org/officeDocument/2006/bibliography"/>
  </ds:schemaRefs>
</ds:datastoreItem>
</file>

<file path=docMetadata/LabelInfo.xml><?xml version="1.0" encoding="utf-8"?>
<clbl:labelList xmlns:clbl="http://schemas.microsoft.com/office/2020/mipLabelMetadata">
  <clbl:label id="{49c3d703-3579-47bf-a888-7c913fbdced9}" enabled="0" method="" siteId="{49c3d703-3579-47bf-a888-7c913fbdced9}" removed="1"/>
</clbl:labelList>
</file>

<file path=docProps/app.xml><?xml version="1.0" encoding="utf-8"?>
<Properties xmlns="http://schemas.openxmlformats.org/officeDocument/2006/extended-properties" xmlns:vt="http://schemas.openxmlformats.org/officeDocument/2006/docPropsVTypes">
  <Template>Normal</Template>
  <TotalTime>3600</TotalTime>
  <Pages>19</Pages>
  <Words>5101</Words>
  <Characters>29129</Characters>
  <Application>Microsoft Office Word</Application>
  <DocSecurity>0</DocSecurity>
  <Lines>549</Lines>
  <Paragraphs>241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Cronos</Company>
  <LinksUpToDate>false</LinksUpToDate>
  <CharactersWithSpaces>33989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Smets Thomas</dc:creator>
  <cp:keywords/>
  <dc:description/>
  <cp:lastModifiedBy>Thomas Smets</cp:lastModifiedBy>
  <cp:revision>6</cp:revision>
  <cp:lastPrinted>2025-03-31T14:04:00Z</cp:lastPrinted>
  <dcterms:created xsi:type="dcterms:W3CDTF">2025-03-31T07:19:00Z</dcterms:created>
  <dcterms:modified xsi:type="dcterms:W3CDTF">2025-04-04T09:49:00Z</dcterms:modified>
</cp:coreProperties>
</file>